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85D8B" w14:textId="5F7D18F3" w:rsidR="00FA756B" w:rsidRDefault="00FA756B" w:rsidP="00310335">
      <w:pPr>
        <w:tabs>
          <w:tab w:val="left" w:pos="709"/>
        </w:tabs>
        <w:spacing w:after="0" w:line="240" w:lineRule="auto"/>
        <w:jc w:val="center"/>
        <w:rPr>
          <w:rStyle w:val="s0"/>
          <w:color w:val="auto"/>
          <w:sz w:val="28"/>
          <w:szCs w:val="28"/>
          <w:lang w:val="ru-RU"/>
        </w:rPr>
      </w:pPr>
    </w:p>
    <w:p w14:paraId="5D3314D7" w14:textId="723CFB19" w:rsidR="00A4606F" w:rsidRDefault="00A4606F" w:rsidP="00310335">
      <w:pPr>
        <w:tabs>
          <w:tab w:val="left" w:pos="709"/>
        </w:tabs>
        <w:spacing w:after="0" w:line="240" w:lineRule="auto"/>
        <w:jc w:val="center"/>
        <w:rPr>
          <w:rStyle w:val="s0"/>
          <w:color w:val="auto"/>
          <w:sz w:val="28"/>
          <w:szCs w:val="28"/>
          <w:lang w:val="ru-RU"/>
        </w:rPr>
      </w:pPr>
    </w:p>
    <w:p w14:paraId="2879D51C" w14:textId="64F163B8" w:rsidR="00A4606F" w:rsidRDefault="00A4606F" w:rsidP="00310335">
      <w:pPr>
        <w:tabs>
          <w:tab w:val="left" w:pos="709"/>
        </w:tabs>
        <w:spacing w:after="0" w:line="240" w:lineRule="auto"/>
        <w:jc w:val="center"/>
        <w:rPr>
          <w:rStyle w:val="s0"/>
          <w:color w:val="auto"/>
          <w:sz w:val="28"/>
          <w:szCs w:val="28"/>
          <w:lang w:val="ru-RU"/>
        </w:rPr>
      </w:pPr>
    </w:p>
    <w:p w14:paraId="1B8B6DCD" w14:textId="4F0010C9" w:rsidR="00A4606F" w:rsidRDefault="00A4606F" w:rsidP="00310335">
      <w:pPr>
        <w:tabs>
          <w:tab w:val="left" w:pos="709"/>
        </w:tabs>
        <w:spacing w:after="0" w:line="240" w:lineRule="auto"/>
        <w:jc w:val="center"/>
        <w:rPr>
          <w:rStyle w:val="s0"/>
          <w:color w:val="auto"/>
          <w:sz w:val="28"/>
          <w:szCs w:val="28"/>
          <w:lang w:val="ru-RU"/>
        </w:rPr>
      </w:pPr>
    </w:p>
    <w:p w14:paraId="5090DB84" w14:textId="77777777" w:rsidR="00A4606F" w:rsidRPr="00372214" w:rsidRDefault="00A4606F" w:rsidP="00310335">
      <w:pPr>
        <w:tabs>
          <w:tab w:val="left" w:pos="709"/>
        </w:tabs>
        <w:spacing w:after="0" w:line="240" w:lineRule="auto"/>
        <w:jc w:val="center"/>
        <w:rPr>
          <w:rStyle w:val="s0"/>
          <w:color w:val="auto"/>
          <w:sz w:val="28"/>
          <w:szCs w:val="28"/>
          <w:lang w:val="ru-RU"/>
        </w:rPr>
      </w:pPr>
    </w:p>
    <w:p w14:paraId="46F979D1" w14:textId="77777777" w:rsidR="0083528B" w:rsidRPr="00372214" w:rsidRDefault="0083528B" w:rsidP="00310335">
      <w:pPr>
        <w:tabs>
          <w:tab w:val="left" w:pos="709"/>
        </w:tabs>
        <w:spacing w:after="0" w:line="240" w:lineRule="auto"/>
        <w:jc w:val="center"/>
        <w:rPr>
          <w:rStyle w:val="s0"/>
          <w:color w:val="auto"/>
          <w:sz w:val="28"/>
          <w:szCs w:val="28"/>
          <w:lang w:val="ru-RU"/>
        </w:rPr>
      </w:pPr>
    </w:p>
    <w:p w14:paraId="34523A77" w14:textId="77777777" w:rsidR="004239F4" w:rsidRPr="00372214" w:rsidRDefault="004239F4" w:rsidP="00310335">
      <w:pPr>
        <w:tabs>
          <w:tab w:val="left" w:pos="709"/>
        </w:tabs>
        <w:spacing w:after="0" w:line="240" w:lineRule="auto"/>
        <w:jc w:val="center"/>
        <w:rPr>
          <w:rStyle w:val="s0"/>
          <w:color w:val="auto"/>
          <w:sz w:val="28"/>
          <w:szCs w:val="28"/>
          <w:lang w:val="ru-RU"/>
        </w:rPr>
      </w:pPr>
    </w:p>
    <w:p w14:paraId="5199A75E" w14:textId="77777777" w:rsidR="004239F4" w:rsidRPr="00372214" w:rsidRDefault="004239F4" w:rsidP="00310335">
      <w:pPr>
        <w:tabs>
          <w:tab w:val="left" w:pos="851"/>
        </w:tabs>
        <w:spacing w:after="0" w:line="240" w:lineRule="auto"/>
        <w:contextualSpacing/>
        <w:jc w:val="center"/>
        <w:rPr>
          <w:rFonts w:ascii="Times New Roman" w:hAnsi="Times New Roman" w:cs="Times New Roman"/>
          <w:sz w:val="28"/>
          <w:szCs w:val="28"/>
        </w:rPr>
      </w:pPr>
    </w:p>
    <w:p w14:paraId="0EB6AD93" w14:textId="77777777" w:rsidR="00FA756B" w:rsidRPr="00372214" w:rsidRDefault="00FA756B" w:rsidP="00310335">
      <w:pPr>
        <w:tabs>
          <w:tab w:val="left" w:pos="851"/>
        </w:tabs>
        <w:spacing w:after="0" w:line="240" w:lineRule="auto"/>
        <w:contextualSpacing/>
        <w:jc w:val="center"/>
        <w:rPr>
          <w:rFonts w:ascii="Times New Roman" w:hAnsi="Times New Roman" w:cs="Times New Roman"/>
          <w:sz w:val="28"/>
          <w:szCs w:val="28"/>
        </w:rPr>
      </w:pPr>
    </w:p>
    <w:p w14:paraId="4E420E06" w14:textId="6196F3C6" w:rsidR="004239F4" w:rsidRDefault="003221CA" w:rsidP="003221CA">
      <w:pPr>
        <w:spacing w:after="0" w:line="240" w:lineRule="auto"/>
        <w:ind w:firstLine="567"/>
        <w:jc w:val="center"/>
        <w:rPr>
          <w:rStyle w:val="s1"/>
          <w:color w:val="auto"/>
          <w:sz w:val="28"/>
          <w:szCs w:val="28"/>
        </w:rPr>
      </w:pPr>
      <w:r>
        <w:rPr>
          <w:rStyle w:val="s1"/>
          <w:color w:val="auto"/>
          <w:sz w:val="28"/>
          <w:szCs w:val="28"/>
          <w:lang w:val="kk-KZ"/>
        </w:rPr>
        <w:t>«</w:t>
      </w:r>
      <w:r w:rsidRPr="003221CA">
        <w:rPr>
          <w:rStyle w:val="s1"/>
          <w:color w:val="auto"/>
          <w:sz w:val="28"/>
          <w:szCs w:val="28"/>
        </w:rPr>
        <w:t>Қазақстан Республикасында шағын және орта кәсіпкерлікті дамытудың 2030 жылға дейінгі тұжырымдамасын бекіту туралы</w:t>
      </w:r>
      <w:r>
        <w:rPr>
          <w:rStyle w:val="s1"/>
          <w:color w:val="auto"/>
          <w:sz w:val="28"/>
          <w:szCs w:val="28"/>
          <w:lang w:val="kk-KZ"/>
        </w:rPr>
        <w:t>»</w:t>
      </w:r>
      <w:r w:rsidRPr="003221CA">
        <w:rPr>
          <w:rStyle w:val="s1"/>
          <w:color w:val="auto"/>
          <w:sz w:val="28"/>
          <w:szCs w:val="28"/>
        </w:rPr>
        <w:t xml:space="preserve"> Қазақстан Республикасы Үкіметінің 2022 жылғы 27 сәуірдегі № 250 қаулысына </w:t>
      </w:r>
      <w:r w:rsidR="00E65DB4">
        <w:rPr>
          <w:rFonts w:ascii="Times New Roman" w:hAnsi="Times New Roman"/>
          <w:b/>
          <w:sz w:val="28"/>
          <w:lang w:val="kk-KZ"/>
        </w:rPr>
        <w:t>өзгерістер</w:t>
      </w:r>
      <w:r w:rsidR="00E65DB4">
        <w:rPr>
          <w:rFonts w:ascii="Times New Roman" w:hAnsi="Times New Roman"/>
          <w:b/>
          <w:sz w:val="28"/>
        </w:rPr>
        <w:t xml:space="preserve"> </w:t>
      </w:r>
      <w:r w:rsidRPr="003221CA">
        <w:rPr>
          <w:rStyle w:val="s1"/>
          <w:color w:val="auto"/>
          <w:sz w:val="28"/>
          <w:szCs w:val="28"/>
        </w:rPr>
        <w:t>енгізу туралы</w:t>
      </w:r>
    </w:p>
    <w:p w14:paraId="08F5251E" w14:textId="1D825745" w:rsidR="003221CA" w:rsidRDefault="003221CA" w:rsidP="00310335">
      <w:pPr>
        <w:spacing w:after="0" w:line="240" w:lineRule="auto"/>
        <w:ind w:firstLine="567"/>
        <w:jc w:val="both"/>
        <w:rPr>
          <w:rFonts w:ascii="Times New Roman" w:hAnsi="Times New Roman" w:cs="Times New Roman"/>
          <w:sz w:val="28"/>
          <w:szCs w:val="28"/>
        </w:rPr>
      </w:pPr>
    </w:p>
    <w:p w14:paraId="2C5AC337" w14:textId="77777777" w:rsidR="00DD7558" w:rsidRPr="002D0DFF" w:rsidRDefault="00DD7558" w:rsidP="00310335">
      <w:pPr>
        <w:spacing w:after="0" w:line="240" w:lineRule="auto"/>
        <w:ind w:firstLine="567"/>
        <w:jc w:val="both"/>
        <w:rPr>
          <w:rFonts w:ascii="Times New Roman" w:hAnsi="Times New Roman" w:cs="Times New Roman"/>
          <w:sz w:val="28"/>
          <w:szCs w:val="28"/>
        </w:rPr>
      </w:pPr>
    </w:p>
    <w:p w14:paraId="16EE4DFF" w14:textId="77777777"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 xml:space="preserve">Қазақстан Республикасының Үкіметі </w:t>
      </w:r>
      <w:r w:rsidRPr="00CF24DF">
        <w:rPr>
          <w:rStyle w:val="s0"/>
          <w:b/>
          <w:color w:val="auto"/>
          <w:sz w:val="28"/>
          <w:szCs w:val="28"/>
          <w:lang w:val="ru-RU"/>
        </w:rPr>
        <w:t>ҚАУЛЫ ЕТЕДІ</w:t>
      </w:r>
      <w:r w:rsidRPr="003221CA">
        <w:rPr>
          <w:rStyle w:val="s0"/>
          <w:color w:val="auto"/>
          <w:sz w:val="28"/>
          <w:szCs w:val="28"/>
          <w:lang w:val="ru-RU"/>
        </w:rPr>
        <w:t>:</w:t>
      </w:r>
    </w:p>
    <w:p w14:paraId="728F6F8B" w14:textId="6911F3C4"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 xml:space="preserve">1. </w:t>
      </w:r>
      <w:r w:rsidR="00E65DB4">
        <w:rPr>
          <w:rStyle w:val="s0"/>
          <w:color w:val="auto"/>
          <w:sz w:val="28"/>
          <w:szCs w:val="28"/>
          <w:lang w:val="kk-KZ"/>
        </w:rPr>
        <w:t>«</w:t>
      </w:r>
      <w:r w:rsidR="00E65DB4" w:rsidRPr="003221CA">
        <w:rPr>
          <w:rStyle w:val="s0"/>
          <w:color w:val="auto"/>
          <w:sz w:val="28"/>
          <w:szCs w:val="28"/>
          <w:lang w:val="ru-RU"/>
        </w:rPr>
        <w:t>Қазақстан Республикасында шағын және орта кәсіпкерлікті дамытудың 2030 жылға дейін</w:t>
      </w:r>
      <w:r w:rsidR="00E65DB4">
        <w:rPr>
          <w:rStyle w:val="s0"/>
          <w:color w:val="auto"/>
          <w:sz w:val="28"/>
          <w:szCs w:val="28"/>
          <w:lang w:val="ru-RU"/>
        </w:rPr>
        <w:t>гі тұжырымдамасын бекіту туралы»</w:t>
      </w:r>
      <w:r w:rsidR="00E65DB4">
        <w:rPr>
          <w:rStyle w:val="s0"/>
          <w:color w:val="auto"/>
          <w:sz w:val="28"/>
          <w:szCs w:val="28"/>
          <w:lang w:val="kk-KZ"/>
        </w:rPr>
        <w:t xml:space="preserve"> </w:t>
      </w:r>
      <w:r w:rsidRPr="003221CA">
        <w:rPr>
          <w:rStyle w:val="s0"/>
          <w:color w:val="auto"/>
          <w:sz w:val="28"/>
          <w:szCs w:val="28"/>
          <w:lang w:val="ru-RU"/>
        </w:rPr>
        <w:t>Қазақстан Республикасы Үкіметінің қаулысына</w:t>
      </w:r>
      <w:r w:rsidR="00E65DB4">
        <w:rPr>
          <w:rStyle w:val="s0"/>
          <w:color w:val="auto"/>
          <w:sz w:val="28"/>
          <w:szCs w:val="28"/>
          <w:lang w:val="kk-KZ"/>
        </w:rPr>
        <w:t xml:space="preserve"> </w:t>
      </w:r>
      <w:r w:rsidRPr="003221CA">
        <w:rPr>
          <w:rStyle w:val="s0"/>
          <w:color w:val="auto"/>
          <w:sz w:val="28"/>
          <w:szCs w:val="28"/>
          <w:lang w:val="ru-RU"/>
        </w:rPr>
        <w:t xml:space="preserve">2022 жылғы 27 сәуірдегі № 250 </w:t>
      </w:r>
      <w:r w:rsidR="00E65DB4">
        <w:rPr>
          <w:rStyle w:val="s0"/>
          <w:color w:val="auto"/>
          <w:sz w:val="28"/>
          <w:szCs w:val="28"/>
          <w:lang w:val="kk-KZ"/>
        </w:rPr>
        <w:t xml:space="preserve">мынадай </w:t>
      </w:r>
      <w:r w:rsidRPr="003221CA">
        <w:rPr>
          <w:rStyle w:val="s0"/>
          <w:color w:val="auto"/>
          <w:sz w:val="28"/>
          <w:szCs w:val="28"/>
          <w:lang w:val="ru-RU"/>
        </w:rPr>
        <w:t>өзгерістер</w:t>
      </w:r>
      <w:r w:rsidR="00E65DB4" w:rsidRPr="00E65DB4">
        <w:rPr>
          <w:rStyle w:val="s0"/>
          <w:color w:val="auto"/>
          <w:sz w:val="28"/>
          <w:szCs w:val="28"/>
          <w:lang w:val="ru-RU"/>
        </w:rPr>
        <w:t xml:space="preserve"> </w:t>
      </w:r>
      <w:r w:rsidR="00E65DB4" w:rsidRPr="003221CA">
        <w:rPr>
          <w:rStyle w:val="s0"/>
          <w:color w:val="auto"/>
          <w:sz w:val="28"/>
          <w:szCs w:val="28"/>
          <w:lang w:val="ru-RU"/>
        </w:rPr>
        <w:t>енгізілсін</w:t>
      </w:r>
      <w:r w:rsidRPr="003221CA">
        <w:rPr>
          <w:rStyle w:val="s0"/>
          <w:color w:val="auto"/>
          <w:sz w:val="28"/>
          <w:szCs w:val="28"/>
          <w:lang w:val="ru-RU"/>
        </w:rPr>
        <w:t>:</w:t>
      </w:r>
    </w:p>
    <w:p w14:paraId="03B71DA9" w14:textId="77777777"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көрсетілген қаулымен бекітілген Қазақстан Республикасында шағын және орта кәсіпкерлікті дамытудың 2030 жылға дейінгі тұжырымдамасында:</w:t>
      </w:r>
    </w:p>
    <w:p w14:paraId="22F9A11B" w14:textId="162B842E" w:rsidR="003221CA" w:rsidRPr="003221CA" w:rsidRDefault="003221CA" w:rsidP="00E65DB4">
      <w:pPr>
        <w:spacing w:after="0" w:line="240" w:lineRule="auto"/>
        <w:ind w:firstLine="708"/>
        <w:jc w:val="both"/>
        <w:rPr>
          <w:rStyle w:val="s0"/>
          <w:color w:val="auto"/>
          <w:sz w:val="28"/>
          <w:szCs w:val="28"/>
          <w:lang w:val="ru-RU"/>
        </w:rPr>
      </w:pPr>
      <w:r>
        <w:rPr>
          <w:rStyle w:val="s0"/>
          <w:color w:val="auto"/>
          <w:sz w:val="28"/>
          <w:szCs w:val="28"/>
          <w:lang w:val="ru-RU"/>
        </w:rPr>
        <w:t>2-бөлімде «ағымдағы жағдайды талдау»</w:t>
      </w:r>
      <w:r w:rsidRPr="003221CA">
        <w:rPr>
          <w:rStyle w:val="s0"/>
          <w:color w:val="auto"/>
          <w:sz w:val="28"/>
          <w:szCs w:val="28"/>
          <w:lang w:val="ru-RU"/>
        </w:rPr>
        <w:t>:</w:t>
      </w:r>
    </w:p>
    <w:p w14:paraId="50A248D1" w14:textId="7CC1D819" w:rsidR="003221CA" w:rsidRPr="003221CA" w:rsidRDefault="003221CA" w:rsidP="00CF24DF">
      <w:pPr>
        <w:spacing w:after="0" w:line="240" w:lineRule="auto"/>
        <w:ind w:firstLine="708"/>
        <w:jc w:val="both"/>
        <w:rPr>
          <w:rStyle w:val="s0"/>
          <w:color w:val="auto"/>
          <w:sz w:val="28"/>
          <w:szCs w:val="28"/>
          <w:lang w:val="ru-RU"/>
        </w:rPr>
      </w:pPr>
      <w:r>
        <w:rPr>
          <w:rStyle w:val="s0"/>
          <w:color w:val="auto"/>
          <w:sz w:val="28"/>
          <w:szCs w:val="28"/>
          <w:lang w:val="ru-RU"/>
        </w:rPr>
        <w:t>«</w:t>
      </w:r>
      <w:r w:rsidR="00CF24DF" w:rsidRPr="00CF24DF">
        <w:rPr>
          <w:rStyle w:val="s0"/>
          <w:color w:val="auto"/>
          <w:sz w:val="28"/>
          <w:szCs w:val="28"/>
          <w:lang w:val="ru-RU"/>
        </w:rPr>
        <w:t>Қазақстан Республикасында шағын және орта кәсіпкерлікті дамыту проблемалары</w:t>
      </w:r>
      <w:r>
        <w:rPr>
          <w:rStyle w:val="s0"/>
          <w:color w:val="auto"/>
          <w:sz w:val="28"/>
          <w:szCs w:val="28"/>
          <w:lang w:val="ru-RU"/>
        </w:rPr>
        <w:t>»</w:t>
      </w:r>
      <w:r w:rsidR="00CF24DF">
        <w:rPr>
          <w:rStyle w:val="s0"/>
          <w:color w:val="auto"/>
          <w:sz w:val="28"/>
          <w:szCs w:val="28"/>
          <w:lang w:val="ru-RU"/>
        </w:rPr>
        <w:t xml:space="preserve"> 2-тарау </w:t>
      </w:r>
      <w:r w:rsidRPr="003221CA">
        <w:rPr>
          <w:rStyle w:val="s0"/>
          <w:color w:val="auto"/>
          <w:sz w:val="28"/>
          <w:szCs w:val="28"/>
          <w:lang w:val="ru-RU"/>
        </w:rPr>
        <w:t>мынадай редакцияда жазылсын:</w:t>
      </w:r>
    </w:p>
    <w:p w14:paraId="44C741E2" w14:textId="77777777" w:rsidR="00CF24DF" w:rsidRDefault="003221CA" w:rsidP="00E65DB4">
      <w:pPr>
        <w:spacing w:after="0" w:line="240" w:lineRule="auto"/>
        <w:ind w:firstLine="708"/>
        <w:jc w:val="both"/>
        <w:rPr>
          <w:rStyle w:val="s0"/>
          <w:color w:val="auto"/>
          <w:sz w:val="28"/>
          <w:szCs w:val="28"/>
          <w:lang w:val="ru-RU"/>
        </w:rPr>
      </w:pPr>
      <w:r>
        <w:rPr>
          <w:rStyle w:val="s0"/>
          <w:color w:val="auto"/>
          <w:sz w:val="28"/>
          <w:szCs w:val="28"/>
          <w:lang w:val="ru-RU"/>
        </w:rPr>
        <w:t>«</w:t>
      </w:r>
      <w:r w:rsidR="00CF24DF" w:rsidRPr="00CF24DF">
        <w:rPr>
          <w:rStyle w:val="s0"/>
          <w:color w:val="auto"/>
          <w:sz w:val="28"/>
          <w:szCs w:val="28"/>
          <w:lang w:val="ru-RU"/>
        </w:rPr>
        <w:t>2-тарау. Қазақстан Республикасында шағын және орта кәсіпкерлікті дамыту проблемалары</w:t>
      </w:r>
    </w:p>
    <w:p w14:paraId="7E9B8F29" w14:textId="77777777"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Қазақстан Республикасы Президентінің 2018 жылғы 18 ақпандағы № 636 Жарлығымен бекітілген Қазақстан Республикасының 2025 жылға дейінгі Ұлттық даму жоспарында (бұдан әрі – ҰДЖ) Қазақстан Республикасының әртараптандырылған және инновациялық экономиканы құруға бағытталған жалпыұлттық даму басымдықтары айқындалған. Сонымен бірге ШОК-ты дамытуға қатысты ағымдағы саясатты іске асыру көрсетілген мақсатқа толық көлемде сәйкес келмейді.</w:t>
      </w:r>
    </w:p>
    <w:p w14:paraId="3C3EB18D" w14:textId="6898A1BC"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Біріншіден, кәсіпкерлікке деген көзқарас қоғамда дәріптелетін құндылықтарға, адамдардың ынтасына және адами капиталдың сапасына байланысты екенін тиісті салаларда мемлекеттік органдар жүргізетін реттеу толық көлемде ескермейді, осыған байланысты ерікті кәсіпкерліктің өсуін арттыру үшін алғышарттар жоқ.</w:t>
      </w:r>
    </w:p>
    <w:p w14:paraId="259B0A7B" w14:textId="16724E2E"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Екіншіден, институционалдық ортаның ағымдағы жай-күйі кәсіпкерлік белсенділікті тежейді.</w:t>
      </w:r>
    </w:p>
    <w:p w14:paraId="083A82AE" w14:textId="4D680003"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 xml:space="preserve">Жоғарыда келтірілген ШОК дамуының институционалдық шарттарын талдау бизнес меншігінің қорғалмауынан (тәркілеудің жоғары тәуекелі), </w:t>
      </w:r>
      <w:r w:rsidRPr="00CF24DF">
        <w:rPr>
          <w:rStyle w:val="s0"/>
          <w:color w:val="auto"/>
          <w:sz w:val="28"/>
          <w:szCs w:val="28"/>
          <w:lang w:val="ru-RU"/>
        </w:rPr>
        <w:lastRenderedPageBreak/>
        <w:t>бәсекелестіктің жеткілікті дамымауынан, баға белгілеуге тікелей және жанама араласудан көрінетін бірқатар проблемалардың бар екенін айғақтайды, бұл өз кезегінде кәсіпкерлік белсенділіктің өсуін қамтамасыз етпейді.</w:t>
      </w:r>
    </w:p>
    <w:p w14:paraId="620C34C5" w14:textId="3E71772A"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Бұдан басқа, жекелеген салалар мен аялардағы әкімшілік-құқықтық реттеу жүйесі шағын кәсіпорындарға қатысты жанашыр пиғыл танытпайды және шаруашылық жүргізудің шағын нысандары шеңберінде кәсіпкерлік қызметті жүргізу ерекшелігін ескермейді.</w:t>
      </w:r>
    </w:p>
    <w:p w14:paraId="4AAB49AC" w14:textId="5A1C213A"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Фискалдық жүктеменің жоғары деңгейімен ұштасып, көрсетілген</w:t>
      </w:r>
      <w:r>
        <w:rPr>
          <w:rStyle w:val="s0"/>
          <w:color w:val="auto"/>
          <w:sz w:val="28"/>
          <w:szCs w:val="28"/>
          <w:lang w:val="kk-KZ"/>
        </w:rPr>
        <w:t xml:space="preserve"> </w:t>
      </w:r>
      <w:r w:rsidRPr="00CF24DF">
        <w:rPr>
          <w:rStyle w:val="s0"/>
          <w:color w:val="auto"/>
          <w:sz w:val="28"/>
          <w:szCs w:val="28"/>
          <w:lang w:val="ru-RU"/>
        </w:rPr>
        <w:t>мән-жайлар қызметтің бастапқы кезеңдерінде тұрған кәсіпорындарға өнім өткізу нарығын ұлғайтуға, кірістілікті арттыруға және осылайша микробизнестен шағын немесе орта бизнеске көшуді қамтамасыз етуге мүмкіндік бермейді.</w:t>
      </w:r>
    </w:p>
    <w:p w14:paraId="3F797BE1" w14:textId="6974B7A7" w:rsidR="00CF24DF" w:rsidRP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Үшіншіден, бизнес-ахуал әлі де күрделі және болжауға келмейтін күйде қалуда.</w:t>
      </w:r>
    </w:p>
    <w:p w14:paraId="0CE19024" w14:textId="527A2D1F" w:rsidR="00CF24DF" w:rsidRDefault="00CF24DF" w:rsidP="00CF24DF">
      <w:pPr>
        <w:spacing w:after="0" w:line="240" w:lineRule="auto"/>
        <w:ind w:firstLine="708"/>
        <w:jc w:val="both"/>
        <w:rPr>
          <w:rStyle w:val="s0"/>
          <w:color w:val="auto"/>
          <w:sz w:val="28"/>
          <w:szCs w:val="28"/>
          <w:lang w:val="ru-RU"/>
        </w:rPr>
      </w:pPr>
      <w:r w:rsidRPr="00CF24DF">
        <w:rPr>
          <w:rStyle w:val="s0"/>
          <w:color w:val="auto"/>
          <w:sz w:val="28"/>
          <w:szCs w:val="28"/>
          <w:lang w:val="ru-RU"/>
        </w:rPr>
        <w:t>Реттеушілік жүктеменің жалғасып отырған өсуі, ШОК субъектілерінің тиісті нарыққа кіруіне және олардың бизнесті жүргізу процестеріне байланысты әкімшілік кедергілердің болуы кәсіпкерлік қызметті мемлекеттік реттеуді түбегейлі жұмсартуға бағытталатын кәсіпкерлікті дамыту жөніндегі мемлекеттік саясатпен үйлеспейді.</w:t>
      </w:r>
    </w:p>
    <w:p w14:paraId="7CD05197" w14:textId="3C3119EF"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Төртіншіден, мемлекеттік қолдаудың ағымдағы құрылымы мемлекеттік саясаттың тиімділігін төмендетеді.</w:t>
      </w:r>
    </w:p>
    <w:p w14:paraId="5ED6FBA0" w14:textId="77777777"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Бұған бірнеше факторлар ықпал етеді:</w:t>
      </w:r>
    </w:p>
    <w:p w14:paraId="78800702" w14:textId="293FD052"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ШОБ субъектілерін сапалық емес, сандық қамтуға бағдарлану, бұл шектеулі Мемлекеттік ресурстарды тиімсіз жұмсауды және бизнесте тәуелді көңіл-күйдің пайда болуын тудырады;</w:t>
      </w:r>
    </w:p>
    <w:p w14:paraId="6299C86B" w14:textId="3489A579"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әр түрлі санаттағы субъектілердің (микро, шағын, орта) қолдауымен сараланған тәсілдің болмауы, бұл өмірлік циклдің барлық кезеңдерінен өтуге қиындықтар туғызады;</w:t>
      </w:r>
    </w:p>
    <w:p w14:paraId="40AA91E7" w14:textId="306BB1FA" w:rsidR="003221CA" w:rsidRP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пропорционалды емес қарсы міндеттемелер;</w:t>
      </w:r>
    </w:p>
    <w:p w14:paraId="02FF9A6D" w14:textId="537C34DF" w:rsidR="003221CA" w:rsidRDefault="003221CA" w:rsidP="00E65DB4">
      <w:pPr>
        <w:spacing w:after="0" w:line="240" w:lineRule="auto"/>
        <w:ind w:firstLine="708"/>
        <w:jc w:val="both"/>
        <w:rPr>
          <w:rStyle w:val="s0"/>
          <w:color w:val="auto"/>
          <w:sz w:val="28"/>
          <w:szCs w:val="28"/>
          <w:lang w:val="ru-RU"/>
        </w:rPr>
      </w:pPr>
      <w:r w:rsidRPr="003221CA">
        <w:rPr>
          <w:rStyle w:val="s0"/>
          <w:color w:val="auto"/>
          <w:sz w:val="28"/>
          <w:szCs w:val="28"/>
          <w:lang w:val="ru-RU"/>
        </w:rPr>
        <w:t>қаржылық қолдау шараларына баса назар аудару, алайда қаржылық емес шаралар құзыреттілікті арттырумен және қарыз капиталының құнына байланысты емес бәсекеге қабілеттілік факторларын күшейтумен ШОБ проблемаларын шеше алады.</w:t>
      </w:r>
    </w:p>
    <w:p w14:paraId="005BA509" w14:textId="77777777" w:rsidR="00CF24DF" w:rsidRDefault="003221CA" w:rsidP="00E65DB4">
      <w:pPr>
        <w:shd w:val="clear" w:color="auto" w:fill="FFFFFF"/>
        <w:spacing w:after="0" w:line="240" w:lineRule="auto"/>
        <w:ind w:firstLine="708"/>
        <w:contextualSpacing/>
        <w:jc w:val="both"/>
        <w:textAlignment w:val="baseline"/>
        <w:rPr>
          <w:rFonts w:ascii="Times New Roman" w:hAnsi="Times New Roman" w:cs="Times New Roman"/>
          <w:sz w:val="28"/>
          <w:szCs w:val="28"/>
        </w:rPr>
      </w:pPr>
      <w:r w:rsidRPr="003221CA">
        <w:rPr>
          <w:rFonts w:ascii="Times New Roman" w:hAnsi="Times New Roman" w:cs="Times New Roman"/>
          <w:sz w:val="28"/>
          <w:szCs w:val="28"/>
        </w:rPr>
        <w:t>Орта бизнесті тәрбиелеу бойынша белгіленген стратегиялық бағдарларды ескере отырып, мемлекеттік қолдау шараларының қолданыстағы жүйесін сапаға, атап айтқанда бәсекеге қабілетті компанияларды қолдауға қайта бағдарлау қажет.</w:t>
      </w:r>
    </w:p>
    <w:p w14:paraId="1B46F117" w14:textId="7FB3E02F"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rPr>
      </w:pPr>
      <w:r w:rsidRPr="00CF24DF">
        <w:rPr>
          <w:rFonts w:ascii="Times New Roman" w:hAnsi="Times New Roman" w:cs="Times New Roman"/>
          <w:sz w:val="28"/>
          <w:szCs w:val="28"/>
        </w:rPr>
        <w:t xml:space="preserve">Бесіншіден, </w:t>
      </w:r>
      <w:r w:rsidR="00C93B12">
        <w:rPr>
          <w:rFonts w:ascii="Times New Roman" w:hAnsi="Times New Roman" w:cs="Times New Roman"/>
          <w:sz w:val="28"/>
          <w:szCs w:val="28"/>
        </w:rPr>
        <w:t>«</w:t>
      </w:r>
      <w:r w:rsidRPr="00CF24DF">
        <w:rPr>
          <w:rFonts w:ascii="Times New Roman" w:hAnsi="Times New Roman" w:cs="Times New Roman"/>
          <w:sz w:val="28"/>
          <w:szCs w:val="28"/>
        </w:rPr>
        <w:t>қаражат бөлінгеннен бастап оларды түпкілікті алушыға жеткізуге дейін</w:t>
      </w:r>
      <w:r w:rsidR="00C93B12">
        <w:rPr>
          <w:rFonts w:ascii="Times New Roman" w:hAnsi="Times New Roman" w:cs="Times New Roman"/>
          <w:sz w:val="28"/>
          <w:szCs w:val="28"/>
        </w:rPr>
        <w:t>»</w:t>
      </w:r>
      <w:r w:rsidRPr="00CF24DF">
        <w:rPr>
          <w:rFonts w:ascii="Times New Roman" w:hAnsi="Times New Roman" w:cs="Times New Roman"/>
          <w:sz w:val="28"/>
          <w:szCs w:val="28"/>
        </w:rPr>
        <w:t xml:space="preserve"> мемлекеттік қолдау шараларын көрсетудің бүкіл процесінің ашықтығы нормативтік қамтамасыз етілмеген.</w:t>
      </w:r>
    </w:p>
    <w:p w14:paraId="7258C252" w14:textId="22A490CD"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rPr>
      </w:pPr>
      <w:r w:rsidRPr="00CF24DF">
        <w:rPr>
          <w:rFonts w:ascii="Times New Roman" w:hAnsi="Times New Roman" w:cs="Times New Roman"/>
          <w:sz w:val="28"/>
          <w:szCs w:val="28"/>
        </w:rPr>
        <w:t xml:space="preserve">Мемлекеттік қолдау шараларын түпкі алушылар туралы объективті себептер бойынша операторлар және/немесе қаржы институттары ашпайтын анық ақпараттың (қаражаттың нысаналы игерілуі туралы деректер), сондай-ақ осы ақпаратты ашу жөніндегі заңнамалық талаптардың болмауы мемлекеттік </w:t>
      </w:r>
      <w:r w:rsidRPr="00CF24DF">
        <w:rPr>
          <w:rFonts w:ascii="Times New Roman" w:hAnsi="Times New Roman" w:cs="Times New Roman"/>
          <w:sz w:val="28"/>
          <w:szCs w:val="28"/>
        </w:rPr>
        <w:lastRenderedPageBreak/>
        <w:t>қолдау шараларының сапасы мен тиімділігінің қадағаланып тұруына теріс әсер етеді.</w:t>
      </w:r>
    </w:p>
    <w:p w14:paraId="58AF7663" w14:textId="1C3A978A" w:rsidR="003221CA" w:rsidRPr="003221CA"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rPr>
      </w:pPr>
      <w:r w:rsidRPr="00CF24DF">
        <w:rPr>
          <w:rFonts w:ascii="Times New Roman" w:hAnsi="Times New Roman" w:cs="Times New Roman"/>
          <w:sz w:val="28"/>
          <w:szCs w:val="28"/>
        </w:rPr>
        <w:t>Мәселен, мемлекеттік аудит органдары мемлекеттік қолдау шараларының сапасы мен тиімділігі туралы пайымдауды мемлекеттік қолдау шараларын алушылар туралы жалпыға қолжетімді ақпаратты немесе жинақталған ақпаратты ғана пайдалана отырып дайындауға мәжбүр.</w:t>
      </w:r>
      <w:r w:rsidR="003221CA" w:rsidRPr="003221CA">
        <w:rPr>
          <w:rFonts w:ascii="Times New Roman" w:hAnsi="Times New Roman" w:cs="Times New Roman"/>
          <w:sz w:val="28"/>
          <w:szCs w:val="28"/>
        </w:rPr>
        <w:t>»;</w:t>
      </w:r>
    </w:p>
    <w:p w14:paraId="4846704A" w14:textId="5A3BF8FE" w:rsidR="003221CA" w:rsidRPr="003221CA" w:rsidRDefault="003221CA" w:rsidP="00CF24DF">
      <w:pPr>
        <w:shd w:val="clear" w:color="auto" w:fill="FFFFFF"/>
        <w:spacing w:after="0" w:line="240" w:lineRule="auto"/>
        <w:ind w:firstLine="708"/>
        <w:contextualSpacing/>
        <w:jc w:val="both"/>
        <w:textAlignment w:val="baseline"/>
        <w:rPr>
          <w:rFonts w:ascii="Times New Roman" w:hAnsi="Times New Roman" w:cs="Times New Roman"/>
          <w:sz w:val="28"/>
          <w:szCs w:val="28"/>
        </w:rPr>
      </w:pPr>
      <w:r>
        <w:rPr>
          <w:rFonts w:ascii="Times New Roman" w:hAnsi="Times New Roman" w:cs="Times New Roman"/>
          <w:sz w:val="28"/>
          <w:szCs w:val="28"/>
        </w:rPr>
        <w:t>3-бөлім «халықаралық тәжірибеге шолу»</w:t>
      </w:r>
      <w:r w:rsidR="00CF24DF">
        <w:rPr>
          <w:rFonts w:ascii="Times New Roman" w:hAnsi="Times New Roman" w:cs="Times New Roman"/>
          <w:sz w:val="28"/>
          <w:szCs w:val="28"/>
          <w:lang w:val="kk-KZ"/>
        </w:rPr>
        <w:t xml:space="preserve"> </w:t>
      </w:r>
      <w:r w:rsidRPr="003221CA">
        <w:rPr>
          <w:rFonts w:ascii="Times New Roman" w:hAnsi="Times New Roman" w:cs="Times New Roman"/>
          <w:sz w:val="28"/>
          <w:szCs w:val="28"/>
        </w:rPr>
        <w:t>мынадай редакцияда жазылсын:</w:t>
      </w:r>
    </w:p>
    <w:p w14:paraId="4F7FB521" w14:textId="26835362" w:rsidR="00CF24DF" w:rsidRDefault="003221CA"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Pr>
          <w:rFonts w:ascii="Times New Roman" w:hAnsi="Times New Roman" w:cs="Times New Roman"/>
          <w:sz w:val="28"/>
          <w:szCs w:val="28"/>
          <w:lang w:val="kk-KZ"/>
        </w:rPr>
        <w:t>«</w:t>
      </w:r>
      <w:r w:rsidR="00CF24DF" w:rsidRPr="00CF24DF">
        <w:rPr>
          <w:rFonts w:ascii="Times New Roman" w:hAnsi="Times New Roman" w:cs="Times New Roman"/>
          <w:sz w:val="28"/>
          <w:szCs w:val="28"/>
          <w:lang w:val="kk-KZ"/>
        </w:rPr>
        <w:t>3-бөлім. Халықаралық тәжірибеге шолу</w:t>
      </w:r>
    </w:p>
    <w:p w14:paraId="3C0A537B" w14:textId="77777777"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Озық шетелдік практикалардың халықаралық тәжірибесі ШОК-ты дамытудың сапалы пысықталған саясаты кедейліктен шығу және формалды емес экономиканы төмендету екенін көрсетіп берді. Экономикалық байлықтың өсуіне және кірісі орташадан төмен дамушы елдің деңгейінен кірісі орташадан жоғары және жоғары дамушы елдің деңгейіне өту шамасына қарай мақсат қою ШОК-тың тұрақты экономикалық дамуға қатысуы, экономиканы әртараптандыру, экспорттың өсуі, инновациялар және креативті индустриялар жағына ығысады. Бизнесті дамыту үшін маңызды формалды институционалдық жағдайларды салыстырмалы талдау Қазақстанға бейімдеуге мүмкін болатын шешімдерді бөліп көрсетуге мүмкіндік береді.</w:t>
      </w:r>
    </w:p>
    <w:p w14:paraId="4A28C979" w14:textId="396201A3"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Экономикалық еркіндіктер беру, әкімшілік кедергілерді азайту, баға белгілеуді бұрмалау және бәсекелестікті дамыту бөлігінде Кавказ елдерінің тәжірибесі анағұрлым тартымды болып көрінеді, өйткені институттардың трансформациясы жағдайында кәсіпкерлік белсенділікті қалай ынталандыруға болатынын көрсетеді.</w:t>
      </w:r>
    </w:p>
    <w:p w14:paraId="5A13FB0F" w14:textId="408882B6"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 xml:space="preserve">Мысалы, Арменияның әкімшілік кедергілерді азайту жөніндегі тәжірибесі анағұрлым көрнекі. Армения Еуразиялық экономикалық одақ (бұдан әрі – ЕАЭО) бойынша Қазақстанның әріптесі болып табылады және мемлекеттің фискалдық мөлшерінде еркіндіктер деңгейі Қазақстанмен ұқсас. Бұл ретте Армения Қазақстаннан төмен интегралдық рейтингке ие бола отырып, бірқатар өлшемшарттар бойынша үздік көрсеткіштерді көрсетеді. Армения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бизнесті ашудағы</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(4 рәсімнен 3-ке дейін, 5 күннен 4-ке дейін),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электр энергиясына қосылудағы</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(6 рәсімнен 2-3-ке дейін),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құрылысқа рұқсат алудағы</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(уақыт – 102,5 күннен 99 күнге дейін, құны – қойма құнының 2,1 %-ынан 1,3-1,6 %-ға дейін) және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төлем қабілетсіздігі бойынша шешім шығарудағы</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(құны – мүліктің 15 %-ынан 11 %-ға дейін) рәсімдер санын, олардың уақыты мен құнын қысқарта отырып, 2018 – 2019 жылдары көрсеткіштерді жақсарта алды.</w:t>
      </w:r>
    </w:p>
    <w:p w14:paraId="6E263B16" w14:textId="6B59608A"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Электр энергиясына қосылу бөлігінде Армения мемлекеттік органдар үшін алғашқы қосылудың ұзақтығы бойынша қатаң мерзімдер белгіледі. Армения тәуекелі төмен жобаларды сәулет сызбаларын тәуелсіз сарапшылармен келісу талаптарынан босатқанымен, сәулетшілер мен инженерлерге қойылатын біліктілік талаптары 2020 жылы күшейтілді.</w:t>
      </w:r>
    </w:p>
    <w:p w14:paraId="110176C8" w14:textId="6D6C3277"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Осыған байланысты ҰДЖ-да бизнесті жүргізу процестері бойынша әкімшілік кедергілерді одан әрі қысқарту қажеттігі айқындалғанын ескерсек, бұл тәжірибені Қазақстанда қолдануға болады.</w:t>
      </w:r>
    </w:p>
    <w:p w14:paraId="4AAE05DF" w14:textId="4BB8E918"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lastRenderedPageBreak/>
        <w:t>Грузия тәжірибесі инвестициялар еркіндігін беру және әділ бәсекелестікті белгілеу саласында барынша қолдануға жарамды.</w:t>
      </w:r>
    </w:p>
    <w:p w14:paraId="321EF878" w14:textId="56558620"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 xml:space="preserve">Айталық, 2000-шы жылдардағы реформалардан кейін Грузия ЭЕИ-де инвестициялар еркіндігі саласында бірден көтеріле алды, бұл әсіресе денсаулық сақтау саласында жедел жекешелендірумен негізделген. 2011 жылы Грузияда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Экономикалық еркіндік туралы органикалық заң</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да қабылданды, онда халықтың экономикалық және азаматтық еркіндігі мен мемлекеттің араласуын шектеу қамтылды. Осы Заңға сәйкес Грузия резиденттер мен бейрезиденттер үшін капитал қозғалысына (валюта айырбастау, ақша қаражатын Грузияның шегінен тыс әкету) шектеулерді алып тастады.</w:t>
      </w:r>
    </w:p>
    <w:p w14:paraId="450D52E3" w14:textId="78E1E850"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Мұндай жағдайларда Қазақстанмен салыстырғанда Грузияның тартымды инвестициялық ахуалды қамтамасыз етуге байланысты тәжірибесі анағұрлым жағымды болып көрінеді.</w:t>
      </w:r>
    </w:p>
    <w:p w14:paraId="2DBBCB5C" w14:textId="3068D7FA"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Перудің 1990-шы жылдардың басындағы меншік құқығын формалдандыру жөніндегі тәжірибесі меншік құқығын қорғау бөлігінде ең жарқын мысал бола алады. Формалдандыру бағдарламасының алғашқы үш жылында бұрын бейформалды меншікте болған 150 мыңнан астам объект тіркелді. Реформа сәттілігінің негізгі элементі бейформалды мүлікті тіркеудің төмен құны болды (айыппұлсыз), оны мемлекет көлеңкелі сектордан көшудің транзакциялық шығасыларын қысқарту үшін қажеттілік түрінде субсидиялады. Жүйеде мүлікті тіркеу рәсімдерінің саны өте аз болды, бұл кедей халық үшін тартымды болды, бірақ сонымен бірге оны жергілікті деңгейде формалдандырудың артықшылықтары туралы ақпараттандыру арқылы тіркеуге ынталандырды.</w:t>
      </w:r>
    </w:p>
    <w:p w14:paraId="6792B52D" w14:textId="256859FC"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Сонымен қатар Малайзия да меншік құқығын, әсіресе зияткерлік меншік құқығын қорғау бөлігінде табысты реформаларға үлгі болып табылады. Мәселен, Малайзия 2011 – 2013 жылдары тіркеу мен мемлекеттік баж төлеудің электрондық жүйесін енгізу арқылы мүлік құқықтарын беру рәсімінің уақытын 41 күннен 2 күнге дейін қысқарта алды.</w:t>
      </w:r>
    </w:p>
    <w:p w14:paraId="0B9DFE0C" w14:textId="32AB58BB"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 xml:space="preserve">Өз кезегінде, мұндай практикаларды Қазақстанда қолдану бизнесті экономиканың көлеңкелі секторына кетуге ынталандыруды жояды, адал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ашық</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бизнес жүргізу үшін жағдай жасайды.</w:t>
      </w:r>
    </w:p>
    <w:p w14:paraId="5A763B92" w14:textId="410930F6"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Зияткерлік меншік институтын дамыту саласында Малайзияның 2012 жылы World Intellectual Property Organization (WIPO) кіруі және патенттерді, тауар белгілері мен авторлық құқықты қорғау саласындағы көптеген халықаралық келісімдерге қол қоюы маңызды фактор болды. Ғаламдық ақпараттық кеңістікке интеграцияның мұндай түрі жергілікті кәсіпкерлерге қолданыстағы өнертабыстар мен инновацияларға қол жеткізуге, тауашаларды табуға және тіркеуге мүмкіндік берді.</w:t>
      </w:r>
    </w:p>
    <w:p w14:paraId="78493AAD" w14:textId="6FA209D4"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Мұндай практиканы Қазақстан жағдайында қолдану зияткерлік меншікті одан әрі дамыту үшін жағдай жасауға, оны іске асырудың жаңа нысандарын ашуға және зияткерлік меншік объектілерін сыртқы нарықтарға импорттауды қамтамасыз етуге мүмкіндік береді.</w:t>
      </w:r>
    </w:p>
    <w:p w14:paraId="06CE262E" w14:textId="4AE9C04E"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lastRenderedPageBreak/>
        <w:t>Мемлекеттік қызметтегі, сот жүйесіндегі және құқық қорғау органдарындағы сыбайлас жемқорлықтың алдын алу бөлігінде 2000-шы жылдардан бастап құқық үстемдігінің элементтерін жетілдіруді жалғастырып келе жатқан және ЭЫДҰ-ның дамыған елдері деңгейінде өңірдегі жалғыз жоғары ЭЕИ көрсеткіштері бар Грузияның тәжірибесі анағұрлым жарқын болып табылады.</w:t>
      </w:r>
    </w:p>
    <w:p w14:paraId="3E38EAC6" w14:textId="30537957"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Грузияда 2000 жылы Transparency International Georgia (TI Georgia) үкіметтік емес ұйымының филиалы құрылды, ол сыбайлас жемқорлықтың алдын алу жөніндегі шараларға тәуелсіз талдау, мемлекеттің сыбайлас жемқорлыққа қарсы күрес жөніндегі бастамаларының барлық деңгейлерде орындалуына мониторинг жүргізеді.</w:t>
      </w:r>
    </w:p>
    <w:p w14:paraId="3D371479" w14:textId="05D0C169"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 xml:space="preserve">Грузияның бюджеттік ақпаратқа жұртшылықтың қол жеткізу рейтингінде әлемде екінші орынға (Жаңа Зеландиядан кейін) ие бола отырып, өңір елдері арасында ақпарат бүкпесіздігінің ең жоғары деңгейін қамтамасыз ететіні Қазақстаннан маңызды айырмашылығы болып табылады. 2012 жылы мемлекеттік органдар бюджеттердің, сатып алулардың деректерін енгізуге міндетті бірыңғай жария ақпараттық жүйе құрылды. Жоба Грузияның 2011 жылы құрылған ашық мемлекет идеалдарын бекітуге, әкімшілік кәсіпқойлықты, ашық азаматтық бақылауды дамытуға бағытталған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Ашық үкімет</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халықаралық ұйымына кіруі шеңберінде өткізілді.</w:t>
      </w:r>
    </w:p>
    <w:p w14:paraId="35779DDC" w14:textId="6F1EB9A3"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Бүгінгі таңда көптеген елдердің заңнамасында мемлекеттік органдар мен олардың лауазымды адамдарына қатысты мәліметтерді банктік құпиядан шығаруға рұқсат етілген.</w:t>
      </w:r>
    </w:p>
    <w:p w14:paraId="32387894" w14:textId="7900935B"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 xml:space="preserve">Банктік құпияға жатқызылған ақпаратты ашу құқық қорғау органдары, сот билігі органдары, фискалдық (салық) органдар үшін жүзеге асырылады. Францияның </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Банктер және банк қызметі туралы</w:t>
      </w:r>
      <w:r w:rsidR="00C93B12">
        <w:rPr>
          <w:rFonts w:ascii="Times New Roman" w:hAnsi="Times New Roman" w:cs="Times New Roman"/>
          <w:sz w:val="28"/>
          <w:szCs w:val="28"/>
          <w:lang w:val="kk-KZ"/>
        </w:rPr>
        <w:t>»</w:t>
      </w:r>
      <w:r w:rsidRPr="00CF24DF">
        <w:rPr>
          <w:rFonts w:ascii="Times New Roman" w:hAnsi="Times New Roman" w:cs="Times New Roman"/>
          <w:sz w:val="28"/>
          <w:szCs w:val="28"/>
          <w:lang w:val="kk-KZ"/>
        </w:rPr>
        <w:t xml:space="preserve"> 1984 жылғы Заңына сәйкес клиенттер мен олардың шоттары туралы мәліметтерді қылмыстық тергеп-тексеру жүргізетін сот органдарынан жасыруға болмайды. Францияның Жалпы салық кодексіне сәйкес кредиттік ұйымдар салық қызметтеріне бағалы қағаздар салымдары немесе ақша қаражаты шоттарының, ағымдағы аванстық шоттардың және т.б. ашылуы және жабылуы туралы хабарлауға міндетті. Сонымен бірге банктік құпия Италияның салық органдары үшін адамдар туралы мәліметтер алуға кедергі болмайды.</w:t>
      </w:r>
    </w:p>
    <w:p w14:paraId="4CCDDD68" w14:textId="1A3ECC2B"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Аумағы жағынан ірі және/немесе біртекті емес елдерде, әдетте, орталық үкімет пен өңірлік билік арасында өкілеттіктер мен жауапкершіліктер бөлінеді.</w:t>
      </w:r>
    </w:p>
    <w:p w14:paraId="5CEBF8D5" w14:textId="71DDC0F1"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Орталық үкіметтің жауапкершілігіне ШОК-ты дамыту үшін институционалдық жағдайларды қамтамасыз ету және саясаттың реттеушілік бөлігі кіреді. Әдетте, мемлекеттер бір жағынан кәсіпкерлер үшін өңірлер арасындағы бәсекелестікті көтермелейді және екінші жағынан ұлттық деңгейдегі міндеттерді шешу үшін жекелеген өңірлерге қосымша интервенциялар жүргізеді.</w:t>
      </w:r>
    </w:p>
    <w:p w14:paraId="5655B816" w14:textId="339276A7" w:rsidR="00CF24DF" w:rsidRPr="00CF24DF"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t>Бұл практика қалыспай даму стратегиясын қолданған Азия елдерінде әсіресе айқын көрінеді.</w:t>
      </w:r>
    </w:p>
    <w:p w14:paraId="33709ABA" w14:textId="37C6892F" w:rsidR="00CF24DF" w:rsidRPr="00C93B12"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lastRenderedPageBreak/>
        <w:t xml:space="preserve">Индустриялық аймақтар мен парктер түрінде мамандандырылған аумақтарды, бизнес-инкубаторлар мен акселераторларды, креативті парктер мен аймақтарды, басқа мамандандырылған инфрақұрылымды дамыту өңірлік ерекшеліктерді, бәсекелік артықшылықтар мен өңірлік кәсіпкерліктің қажеттіліктерін жақсы түсінетін жергілікті биліктің құзыретіне жатады. </w:t>
      </w:r>
      <w:r w:rsidRPr="00C93B12">
        <w:rPr>
          <w:rFonts w:ascii="Times New Roman" w:hAnsi="Times New Roman" w:cs="Times New Roman"/>
          <w:sz w:val="28"/>
          <w:szCs w:val="28"/>
          <w:lang w:val="kk-KZ"/>
        </w:rPr>
        <w:t>Құқықтар мен жауапкершілікті орталықсыздандыру фискалдық және бюджеттік орталықсыздандырумен тығыз байланысты.</w:t>
      </w:r>
    </w:p>
    <w:p w14:paraId="6F7B8CAF" w14:textId="4FE66231" w:rsidR="00CF24DF" w:rsidRPr="00C93B12"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Өңірлер деңгейінде тұтастай өңірдің инвестициялық тартымдылығын арттыруға және ішінара ШОК-ты дамытуға шоғырланатын жеке даму институттары құрылуы мүмкін.</w:t>
      </w:r>
    </w:p>
    <w:p w14:paraId="7C8E03EE" w14:textId="61661CB9" w:rsidR="00CF24DF" w:rsidRPr="00C93B12"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Мысалы, Татарстан Республикасында функцияларына кәсіпкерлікті қаржылық, ақпараттық-консультациялық, инновациялық, мүліктік қолдау кіретін ШОК-ты дамыту жөніндегі өзіндік экожүйе жұмыс істейді. Осылайша, өңірлік билікке экспортты, кепілдік беруді, ИТ-парктерді, агроөндірістік парктерді, өнеркәсіптік парктер мен алаңдарды, өңірдегі бизнес-инкубаторларды басқаруды қолдау жөніндегі өкілеттіктер берілген.</w:t>
      </w:r>
    </w:p>
    <w:p w14:paraId="12D64A64" w14:textId="0D6262D1" w:rsidR="00CF24DF" w:rsidRPr="00C93B12"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 xml:space="preserve">Еуропалық Одақта (бұдан әрі – ЕО) өңірлік даму институттары өңірлік кәсіпкерлік экожүйелерді дамытудағы негізгі буын болып табылады. Мемлекеттік және үкіметтік емес ұйымдар мен жеке компаниялар өңірлік даму институттары ретінде әрекет ете алады. ЕО-дағы өңірлік даму институттарының орталық мемлекеттік органдардан зор дербестігі бар екенін, шешімдер қабылдауда икемді екенін және </w:t>
      </w:r>
      <w:r w:rsidR="00C93B12">
        <w:rPr>
          <w:rFonts w:ascii="Times New Roman" w:hAnsi="Times New Roman" w:cs="Times New Roman"/>
          <w:sz w:val="28"/>
          <w:szCs w:val="28"/>
          <w:lang w:val="kk-KZ"/>
        </w:rPr>
        <w:t>«</w:t>
      </w:r>
      <w:r w:rsidRPr="00C93B12">
        <w:rPr>
          <w:rFonts w:ascii="Times New Roman" w:hAnsi="Times New Roman" w:cs="Times New Roman"/>
          <w:sz w:val="28"/>
          <w:szCs w:val="28"/>
          <w:lang w:val="kk-KZ"/>
        </w:rPr>
        <w:t>бір терезе</w:t>
      </w:r>
      <w:r w:rsidR="00C93B12">
        <w:rPr>
          <w:rFonts w:ascii="Times New Roman" w:hAnsi="Times New Roman" w:cs="Times New Roman"/>
          <w:sz w:val="28"/>
          <w:szCs w:val="28"/>
          <w:lang w:val="kk-KZ"/>
        </w:rPr>
        <w:t>»</w:t>
      </w:r>
      <w:r w:rsidRPr="00C93B12">
        <w:rPr>
          <w:rFonts w:ascii="Times New Roman" w:hAnsi="Times New Roman" w:cs="Times New Roman"/>
          <w:sz w:val="28"/>
          <w:szCs w:val="28"/>
          <w:lang w:val="kk-KZ"/>
        </w:rPr>
        <w:t xml:space="preserve"> қағидаты бойынша бизнеске жағдай жасау үшін өңіраралық (ел ішінде) бәсекелестікті қамтамасыз ететінін атап өткен жөн. Өңірлік кәсіпкерлік жүйелерді дамыту кезінде </w:t>
      </w:r>
      <w:r w:rsidR="00C93B12">
        <w:rPr>
          <w:rFonts w:ascii="Times New Roman" w:hAnsi="Times New Roman" w:cs="Times New Roman"/>
          <w:sz w:val="28"/>
          <w:szCs w:val="28"/>
          <w:lang w:val="kk-KZ"/>
        </w:rPr>
        <w:t>«</w:t>
      </w:r>
      <w:r w:rsidRPr="00C93B12">
        <w:rPr>
          <w:rFonts w:ascii="Times New Roman" w:hAnsi="Times New Roman" w:cs="Times New Roman"/>
          <w:sz w:val="28"/>
          <w:szCs w:val="28"/>
          <w:lang w:val="kk-KZ"/>
        </w:rPr>
        <w:t>Single Market</w:t>
      </w:r>
      <w:r w:rsidR="00C93B12">
        <w:rPr>
          <w:rFonts w:ascii="Times New Roman" w:hAnsi="Times New Roman" w:cs="Times New Roman"/>
          <w:sz w:val="28"/>
          <w:szCs w:val="28"/>
          <w:lang w:val="kk-KZ"/>
        </w:rPr>
        <w:t>»</w:t>
      </w:r>
      <w:r w:rsidRPr="00C93B12">
        <w:rPr>
          <w:rFonts w:ascii="Times New Roman" w:hAnsi="Times New Roman" w:cs="Times New Roman"/>
          <w:sz w:val="28"/>
          <w:szCs w:val="28"/>
          <w:lang w:val="kk-KZ"/>
        </w:rPr>
        <w:t xml:space="preserve"> қағидаттарында бірыңғай еуропалық нарықты дамыту үшін өңіраралық кооперация мен коллаборацияға баса назар аударылады. 2020 жылы ЕО-да </w:t>
      </w:r>
      <w:r w:rsidR="00C93B12">
        <w:rPr>
          <w:rFonts w:ascii="Times New Roman" w:hAnsi="Times New Roman" w:cs="Times New Roman"/>
          <w:sz w:val="28"/>
          <w:szCs w:val="28"/>
          <w:lang w:val="kk-KZ"/>
        </w:rPr>
        <w:t>«</w:t>
      </w:r>
      <w:r w:rsidRPr="00C93B12">
        <w:rPr>
          <w:rFonts w:ascii="Times New Roman" w:hAnsi="Times New Roman" w:cs="Times New Roman"/>
          <w:sz w:val="28"/>
          <w:szCs w:val="28"/>
          <w:lang w:val="kk-KZ"/>
        </w:rPr>
        <w:t>Өзара байланыстарды картаға түсіру және талдау арқылы еуропалық кәсіпкерлік өңірлердің ынтымақтастығына жәрдемдесу</w:t>
      </w:r>
      <w:r w:rsidR="00C93B12">
        <w:rPr>
          <w:rFonts w:ascii="Times New Roman" w:hAnsi="Times New Roman" w:cs="Times New Roman"/>
          <w:sz w:val="28"/>
          <w:szCs w:val="28"/>
          <w:lang w:val="kk-KZ"/>
        </w:rPr>
        <w:t>»</w:t>
      </w:r>
      <w:r w:rsidRPr="00C93B12">
        <w:rPr>
          <w:rFonts w:ascii="Times New Roman" w:hAnsi="Times New Roman" w:cs="Times New Roman"/>
          <w:sz w:val="28"/>
          <w:szCs w:val="28"/>
          <w:lang w:val="kk-KZ"/>
        </w:rPr>
        <w:t xml:space="preserve"> жобасы іске асырылды.</w:t>
      </w:r>
    </w:p>
    <w:p w14:paraId="46E8088F" w14:textId="2C03B59D" w:rsidR="00CF24DF" w:rsidRPr="00C93B12"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Дамушы елдерде Оңтүстік-Шығыс Азия елдері қауымдастығының (ASEAN) оң тәжірибесі мен сабақтары қызықты. Негізгі сабақ – орталық пен өңірлер арасында міндеттерді функциялардың қиылысуына жол бермейтіндей бүкпесіз және түсінікті бөлу қажеттігі. Әдетте, орталық билік саясатты құруға және тұжырымдауға жауапты, ал өңірлік билік оны іске асыруға жауапты.</w:t>
      </w:r>
    </w:p>
    <w:p w14:paraId="27CA8E5A" w14:textId="4000AAA0" w:rsidR="00CF24DF" w:rsidRPr="00C93B12" w:rsidRDefault="00CF24DF" w:rsidP="00CF24DF">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Орталық үкімет пен өңірлік билік арасында өкілеттіктер мен жауапкершілікті бөлу бөлігінде санамаланған практикаларды қолдану Қазақстанда қолдануға жарамды болып табылады, өйткені нақты өңірдің ерекшеліктерін ескере отырып, мемлекеттік қолдауды анағұрлым тиімді іске асыруға мүмкіндік береді.</w:t>
      </w:r>
    </w:p>
    <w:p w14:paraId="5856DD45" w14:textId="77777777" w:rsidR="00CF24DF" w:rsidRPr="00C93B12" w:rsidRDefault="00CF24DF"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p>
    <w:p w14:paraId="1F5FC522" w14:textId="77777777" w:rsidR="00CF24DF" w:rsidRDefault="00CF24DF"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p>
    <w:p w14:paraId="23EBC27B" w14:textId="77777777" w:rsidR="00CF24DF" w:rsidRDefault="00CF24DF"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p>
    <w:p w14:paraId="1CCCC3B7" w14:textId="77777777" w:rsidR="00CF24DF" w:rsidRDefault="00CF24DF"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p>
    <w:p w14:paraId="514EA24B" w14:textId="7B0F80CA" w:rsidR="003221CA" w:rsidRPr="00CF24DF" w:rsidRDefault="003221CA"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F24DF">
        <w:rPr>
          <w:rFonts w:ascii="Times New Roman" w:hAnsi="Times New Roman" w:cs="Times New Roman"/>
          <w:sz w:val="28"/>
          <w:szCs w:val="28"/>
          <w:lang w:val="kk-KZ"/>
        </w:rPr>
        <w:lastRenderedPageBreak/>
        <w:t>Өнімділіктің өсуін күшейту үшін кәсіпкерлікті қолдау шараларын бөлу бөлігінде мынадай елдердің тәжірибесі неғұрлым тартымды болып көрінеді:»;</w:t>
      </w:r>
    </w:p>
    <w:p w14:paraId="50B5082A" w14:textId="2FD907D0" w:rsidR="003221CA" w:rsidRPr="00C93B12" w:rsidRDefault="003221CA"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Мексикада ШОБ-тың екі түріне қатысты екі даму бағдарламасы бар. Бірінші бағдарлама күрделі табиғи жағдайлары бар аймақтарда жұмыс істейтін ішкі нарыққа бағдарланған бастаушы кәсіпкерлерге және ШОБ-қа арналған. Екінші бағдарлама сыртқы нарықтарға бағытталған қолданыстағы ШОБ-қа бағытталған.</w:t>
      </w:r>
    </w:p>
    <w:p w14:paraId="5DC7A6C2" w14:textId="4E2CFB2D" w:rsidR="003221CA" w:rsidRPr="00C93B12" w:rsidRDefault="003221CA" w:rsidP="00E65DB4">
      <w:pPr>
        <w:shd w:val="clear" w:color="auto" w:fill="FFFFFF"/>
        <w:spacing w:after="0" w:line="240" w:lineRule="auto"/>
        <w:ind w:firstLine="708"/>
        <w:contextualSpacing/>
        <w:jc w:val="both"/>
        <w:textAlignment w:val="baseline"/>
        <w:rPr>
          <w:rFonts w:ascii="Times New Roman" w:hAnsi="Times New Roman" w:cs="Times New Roman"/>
          <w:sz w:val="28"/>
          <w:szCs w:val="28"/>
          <w:lang w:val="kk-KZ"/>
        </w:rPr>
      </w:pPr>
      <w:r w:rsidRPr="00C93B12">
        <w:rPr>
          <w:rFonts w:ascii="Times New Roman" w:hAnsi="Times New Roman" w:cs="Times New Roman"/>
          <w:sz w:val="28"/>
          <w:szCs w:val="28"/>
          <w:lang w:val="kk-KZ"/>
        </w:rPr>
        <w:t>Сонымен қатар, осы бағдарламаларда ұсынылатын құралдар дәстүрлі: оқытудан бастап жеңілдетілген несиелер мен нес</w:t>
      </w:r>
      <w:r w:rsidR="00CF24DF" w:rsidRPr="00C93B12">
        <w:rPr>
          <w:rFonts w:ascii="Times New Roman" w:hAnsi="Times New Roman" w:cs="Times New Roman"/>
          <w:sz w:val="28"/>
          <w:szCs w:val="28"/>
          <w:lang w:val="kk-KZ"/>
        </w:rPr>
        <w:t>иелерге кепілдік беруге дейін.</w:t>
      </w:r>
    </w:p>
    <w:p w14:paraId="5B3A6668" w14:textId="3CBA3CAC" w:rsidR="003221CA" w:rsidRPr="00C93B12" w:rsidRDefault="004C3C39"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hAnsi="Times New Roman" w:cs="Times New Roman"/>
          <w:sz w:val="28"/>
          <w:szCs w:val="28"/>
          <w:lang w:val="kk-KZ"/>
        </w:rPr>
        <w:t xml:space="preserve"> </w:t>
      </w:r>
      <w:r w:rsidR="003221CA" w:rsidRPr="00C93B12">
        <w:rPr>
          <w:rFonts w:ascii="Times New Roman" w:eastAsia="Times New Roman" w:hAnsi="Times New Roman" w:cs="Times New Roman"/>
          <w:color w:val="000000"/>
          <w:sz w:val="28"/>
          <w:szCs w:val="28"/>
          <w:lang w:val="kk-KZ"/>
        </w:rPr>
        <w:t>Ұлыбританияда «Future Fifty» (2013) бағдарламасы іске асырылуда, оның шеңберінде Ұлыбританияда орналасқан ең перспективалы 50 цифрлық технологиялық компания іріктеледі. Компанияларды іріктеуді тәуелсіз сарапшылар тақтасы жүзеге асырады. Жоғары буын басшыларын қолдаудың екі жылдық тетігі негізгі мемлекеттік мекемелермен тікелей байланысты қамтамасыз ету (иммиграция, салық салу мәселелері бойынша қолдау), консультациялар және сервистік сүйемелдеу (әріптестік желіге қол жеткізу, сарапшылармен сыныптар мен семинарлар) сияқты шараларды қамтиды. Бағдарламаның қатысушылары өткен жылы 3-тен 30 миллион фунт стерлингке дейінгі кірісі бар және соңғы 2 жылда 30% кірісі бар компаниялар бола алады. 2014 жылдан 2016 жылға дейін бағдарлама аясында 77 компания іріктелді, ал 2017 жылы бағдарламаға қатысушылар 26 компания.</w:t>
      </w:r>
    </w:p>
    <w:p w14:paraId="6A778A5B" w14:textId="5B135DD4"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2022 жылдың қорытындысы бойынша Ұлыбританияның ШОБ-тың ЖІӨ-д</w:t>
      </w:r>
      <w:r w:rsidR="00CF24DF" w:rsidRPr="00C93B12">
        <w:rPr>
          <w:rFonts w:ascii="Times New Roman" w:eastAsia="Times New Roman" w:hAnsi="Times New Roman" w:cs="Times New Roman"/>
          <w:color w:val="000000"/>
          <w:sz w:val="28"/>
          <w:szCs w:val="28"/>
          <w:lang w:val="kk-KZ"/>
        </w:rPr>
        <w:t>егі үлесі 51%-</w:t>
      </w:r>
      <w:r w:rsidRPr="00C93B12">
        <w:rPr>
          <w:rFonts w:ascii="Times New Roman" w:eastAsia="Times New Roman" w:hAnsi="Times New Roman" w:cs="Times New Roman"/>
          <w:color w:val="000000"/>
          <w:sz w:val="28"/>
          <w:szCs w:val="28"/>
          <w:lang w:val="kk-KZ"/>
        </w:rPr>
        <w:t>құрады.</w:t>
      </w:r>
    </w:p>
    <w:p w14:paraId="1DA9BC0A" w14:textId="32580574"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Жергілікті компаниялардың жаһандық нарықтардағы бәсекеге қабілеттілігін дамыту бойынша ұқсас тәсіл Сингапурда «Global Company Partnership» (GCP) бағдарламасы шеңберінде де қолданылады. Бұл компанияларға қаржылық және қаржылық емес қолдау көрсетіледі. Қаржылық қолдау шеңберінде нарықтарда қатысуды ұлғайту немесе жаңа нарықтарға шығу бойынша қолайлы шығыстардың 70% - на дейін жабу жүргізіледі. Сондай-ақ, сақтандыру схемалары қарастырылған. Қаржылық емес қолдау компанияның құзыреттерді дамыту бойынша шығындарын жабу арқылы жүзеге асырылады (интернационалдандыру, брендинг, дизайн, Франчайзинг, лицензиялау және т.б. стратегияларды қоса алғанда). Бағдарламаға экспорттық әлеуеті, интернационалдандыру жоспары және ел үшін экономикалық әсері бар бәсекеге қабілетті өнімдері немесе қызметтері бар сингапурлық компаниялар қатыса алады. 2015 жылға қарай бағдарламаға 20 мыңға жуық компания қатысты. Бағдарламаға қатысушылардың жалпы экспорты жылына 7 млрд.</w:t>
      </w:r>
    </w:p>
    <w:p w14:paraId="4F61B8D2" w14:textId="34572D55"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2022 жылдың қорытындысы бойынша Сингапур ШОБ</w:t>
      </w:r>
      <w:r w:rsidR="00CF24DF" w:rsidRPr="00C93B12">
        <w:rPr>
          <w:rFonts w:ascii="Times New Roman" w:eastAsia="Times New Roman" w:hAnsi="Times New Roman" w:cs="Times New Roman"/>
          <w:color w:val="000000"/>
          <w:sz w:val="28"/>
          <w:szCs w:val="28"/>
          <w:lang w:val="kk-KZ"/>
        </w:rPr>
        <w:t>-тың ЖІӨ-дегі үлесі 48% -</w:t>
      </w:r>
      <w:r w:rsidRPr="00C93B12">
        <w:rPr>
          <w:rFonts w:ascii="Times New Roman" w:eastAsia="Times New Roman" w:hAnsi="Times New Roman" w:cs="Times New Roman"/>
          <w:color w:val="000000"/>
          <w:sz w:val="28"/>
          <w:szCs w:val="28"/>
          <w:lang w:val="kk-KZ"/>
        </w:rPr>
        <w:t>құрады.</w:t>
      </w:r>
    </w:p>
    <w:p w14:paraId="72FC21BC"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 xml:space="preserve">Осылайша, халықаралық тәжірибе өңдеу өнеркәсібінде жұмыс істейтін және экспортқа бағытталған, негізінен орташа мөлшердегі бәсекеге қабілетті компанияларды қолдау бойынша тәсілді қолданудың тиімділігін айғақтайды. </w:t>
      </w:r>
    </w:p>
    <w:p w14:paraId="4DA71425"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lastRenderedPageBreak/>
        <w:t>Сонымен қатар, әр түрлі елдерде тез дамып келе жатқан компанияларды қолдау бағдарламаларының әртүрлілігіне қарамастан, олардың жалпы сипаттамалары мыналар болып табылады:</w:t>
      </w:r>
    </w:p>
    <w:p w14:paraId="1DBCAA2F" w14:textId="05BA28CB"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қатысушылардың шектеулі саны;</w:t>
      </w:r>
    </w:p>
    <w:p w14:paraId="69D97F46" w14:textId="6838ACF4"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жеке көзқарас;</w:t>
      </w:r>
    </w:p>
    <w:p w14:paraId="57F49518" w14:textId="45F3B109"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мемлекеттік қолдаудың қажетті жиынтығы (мысалы, технологиялық жабдықтарды сатып алуда, патенттер мен зияткерлік меншіктің өзге де түрлерін алуда қаржылық көмек, жобаларды жеңілдікпен бірлесіп қаржыландыру, жаңа өнеркәсіптік жобаларды іске асыру үшін нысаналы қарыздар және т. б. консалтингтік және маркетингтік қолдауды, білім беру бағдарламаларын және т. б. қоса алғанда, қолдаудың қаржылық емес тетіктері)</w:t>
      </w:r>
    </w:p>
    <w:p w14:paraId="5D088C70" w14:textId="3A186EA3"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қолдау, мысалы, экспортқа шығу, инвестициялармен қамтамасыз ету бойынша өтініштер кезінде ШОБ жобаларын сүйемелдеу.»;</w:t>
      </w:r>
    </w:p>
    <w:p w14:paraId="2C0092E9" w14:textId="00F45C01"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4-бөлімде «шағын және орта кәсіпкерлікті дамыту пайымы»:</w:t>
      </w:r>
    </w:p>
    <w:p w14:paraId="2D10AF8A" w14:textId="2C39E14E"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 xml:space="preserve">бірінші </w:t>
      </w:r>
      <w:r w:rsidR="00CF24DF">
        <w:rPr>
          <w:rFonts w:ascii="Times New Roman" w:eastAsia="Times New Roman" w:hAnsi="Times New Roman" w:cs="Times New Roman"/>
          <w:color w:val="000000"/>
          <w:sz w:val="28"/>
          <w:szCs w:val="28"/>
          <w:lang w:val="kk-KZ"/>
        </w:rPr>
        <w:t>бөлім</w:t>
      </w:r>
      <w:r w:rsidRPr="00C93B12">
        <w:rPr>
          <w:rFonts w:ascii="Times New Roman" w:eastAsia="Times New Roman" w:hAnsi="Times New Roman" w:cs="Times New Roman"/>
          <w:color w:val="000000"/>
          <w:sz w:val="28"/>
          <w:szCs w:val="28"/>
          <w:lang w:val="kk-KZ"/>
        </w:rPr>
        <w:t xml:space="preserve"> мынадай редакцияда жазылсын:</w:t>
      </w:r>
    </w:p>
    <w:p w14:paraId="7CE95899" w14:textId="072413F5"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w:t>
      </w:r>
      <w:r w:rsidRPr="00C93B12">
        <w:rPr>
          <w:rFonts w:ascii="Times New Roman" w:eastAsia="Times New Roman" w:hAnsi="Times New Roman" w:cs="Times New Roman"/>
          <w:color w:val="000000"/>
          <w:sz w:val="28"/>
          <w:szCs w:val="28"/>
          <w:lang w:val="kk-KZ"/>
        </w:rPr>
        <w:t>Қазақстан барлық ШОБ субъектілерін қолдаудан орта кәсіпкерлікті дамыту басымдығымен бәсекеге қабілетті субъектілерге көшуге бағытталған.»</w:t>
      </w:r>
    </w:p>
    <w:p w14:paraId="11F0872C" w14:textId="4B6FD840"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5-бөлімде «шағын және орта кәсіпкерлікті дамытудың негізгі қағидаттары мен тәсілдері»:</w:t>
      </w:r>
    </w:p>
    <w:p w14:paraId="537E5AF4" w14:textId="1BF28E82"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2-тарауда «шағын және орта кәсіпкерлікті дамыту тәсілдері»:</w:t>
      </w:r>
    </w:p>
    <w:p w14:paraId="317436C8" w14:textId="545F43E1"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4</w:t>
      </w:r>
      <w:r w:rsidR="00CF24DF" w:rsidRPr="00C93B12">
        <w:rPr>
          <w:rFonts w:ascii="Times New Roman" w:eastAsia="Times New Roman" w:hAnsi="Times New Roman" w:cs="Times New Roman"/>
          <w:color w:val="000000"/>
          <w:sz w:val="28"/>
          <w:szCs w:val="28"/>
          <w:lang w:val="kk-KZ"/>
        </w:rPr>
        <w:t>-міндет «</w:t>
      </w:r>
      <w:r w:rsidRPr="00C93B12">
        <w:rPr>
          <w:rFonts w:ascii="Times New Roman" w:eastAsia="Times New Roman" w:hAnsi="Times New Roman" w:cs="Times New Roman"/>
          <w:color w:val="000000"/>
          <w:sz w:val="28"/>
          <w:szCs w:val="28"/>
          <w:lang w:val="kk-KZ"/>
        </w:rPr>
        <w:t>мемлекеттік қолдау шаралары құрылымының тиімділігін қамтамасыз ету</w:t>
      </w:r>
      <w:r w:rsidR="00CF24DF" w:rsidRPr="00C93B12">
        <w:rPr>
          <w:rFonts w:ascii="Times New Roman" w:eastAsia="Times New Roman" w:hAnsi="Times New Roman" w:cs="Times New Roman"/>
          <w:color w:val="000000"/>
          <w:sz w:val="28"/>
          <w:szCs w:val="28"/>
          <w:lang w:val="kk-KZ"/>
        </w:rPr>
        <w:t>»</w:t>
      </w:r>
      <w:r w:rsidRPr="00C93B12">
        <w:rPr>
          <w:rFonts w:ascii="Times New Roman" w:eastAsia="Times New Roman" w:hAnsi="Times New Roman" w:cs="Times New Roman"/>
          <w:color w:val="000000"/>
          <w:sz w:val="28"/>
          <w:szCs w:val="28"/>
          <w:lang w:val="kk-KZ"/>
        </w:rPr>
        <w:t xml:space="preserve"> мынадай редакцияда жазылсын:</w:t>
      </w:r>
    </w:p>
    <w:p w14:paraId="18BB07DC" w14:textId="77DFEE2F" w:rsidR="00CF24DF"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w:t>
      </w:r>
      <w:r w:rsidR="00CF24DF" w:rsidRPr="00CF24DF">
        <w:rPr>
          <w:rFonts w:ascii="Times New Roman" w:eastAsia="Times New Roman" w:hAnsi="Times New Roman" w:cs="Times New Roman"/>
          <w:color w:val="000000"/>
          <w:sz w:val="28"/>
          <w:szCs w:val="28"/>
          <w:lang w:val="kk-KZ"/>
        </w:rPr>
        <w:t>4-міндет. Мемлекеттік қолдау шаралары құрылымының тиімділігін қамтамасыз ету</w:t>
      </w:r>
    </w:p>
    <w:p w14:paraId="52665EF6" w14:textId="6B28D688" w:rsidR="003221CA" w:rsidRPr="00CF24DF"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F24DF">
        <w:rPr>
          <w:rFonts w:ascii="Times New Roman" w:eastAsia="Times New Roman" w:hAnsi="Times New Roman" w:cs="Times New Roman"/>
          <w:color w:val="000000"/>
          <w:sz w:val="28"/>
          <w:szCs w:val="28"/>
          <w:lang w:val="kk-KZ"/>
        </w:rPr>
        <w:t>Пирамиданың соңғы деңгейінде мемлекеттік қолдау шараларының тиімді құрылымын қамтамасыз етуге байланысты реформалар жатыр.</w:t>
      </w:r>
    </w:p>
    <w:p w14:paraId="3C55E812" w14:textId="47573814" w:rsidR="003221CA" w:rsidRPr="00CF24DF" w:rsidRDefault="00CF24DF"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F24DF">
        <w:rPr>
          <w:rFonts w:ascii="Times New Roman" w:eastAsia="Times New Roman" w:hAnsi="Times New Roman" w:cs="Times New Roman"/>
          <w:color w:val="000000"/>
          <w:sz w:val="28"/>
          <w:szCs w:val="28"/>
          <w:lang w:val="kk-KZ"/>
        </w:rPr>
        <w:t xml:space="preserve">ШОК </w:t>
      </w:r>
      <w:r w:rsidR="003221CA" w:rsidRPr="00CF24DF">
        <w:rPr>
          <w:rFonts w:ascii="Times New Roman" w:eastAsia="Times New Roman" w:hAnsi="Times New Roman" w:cs="Times New Roman"/>
          <w:color w:val="000000"/>
          <w:sz w:val="28"/>
          <w:szCs w:val="28"/>
          <w:lang w:val="kk-KZ"/>
        </w:rPr>
        <w:t xml:space="preserve">субъектісінің санатына, оның салық төлемдерінің серпініне, өмірлік цикл сатысына және даму әлеуетіне байланысты </w:t>
      </w:r>
      <w:r w:rsidR="00E65DB4" w:rsidRPr="00CF24DF">
        <w:rPr>
          <w:rFonts w:ascii="Times New Roman" w:eastAsia="Times New Roman" w:hAnsi="Times New Roman" w:cs="Times New Roman"/>
          <w:color w:val="000000"/>
          <w:sz w:val="28"/>
          <w:szCs w:val="28"/>
          <w:lang w:val="kk-KZ"/>
        </w:rPr>
        <w:t>ШОК</w:t>
      </w:r>
      <w:r w:rsidR="003221CA" w:rsidRPr="00CF24DF">
        <w:rPr>
          <w:rFonts w:ascii="Times New Roman" w:eastAsia="Times New Roman" w:hAnsi="Times New Roman" w:cs="Times New Roman"/>
          <w:color w:val="000000"/>
          <w:sz w:val="28"/>
          <w:szCs w:val="28"/>
          <w:lang w:val="kk-KZ"/>
        </w:rPr>
        <w:t>-ты дамытуды ынталандырудың құралдары мен мемлекеттік шараларының қолжетімділігін градациялау жүргізілуі тиіс.</w:t>
      </w:r>
    </w:p>
    <w:p w14:paraId="46B4D92C" w14:textId="4AEE27AD"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Ол үшін мемлекеттік реттеу және кәсіпкерлікті ынталандыру шараларының негізгі векторы бизнесті дамытудың барлық кезеңдерінде оның үздіксіз дамуын қамтамасыз етуге бағытталатын болады, бұл кейіннен шағын бизнестің едәуір бөлігінің орта және орта санатқа ірі бизнеске көшуін қамтамасыз етуге мүмкіндік береді.</w:t>
      </w:r>
    </w:p>
    <w:p w14:paraId="22FC56A3"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Дамудың негізгі бағыты:</w:t>
      </w:r>
    </w:p>
    <w:p w14:paraId="45946309" w14:textId="13D1325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бизнес-бастаманы іске асыру бойынша ісін жаңа бастаған кәсіпкерлерді қолдауға;</w:t>
      </w:r>
    </w:p>
    <w:p w14:paraId="68A83678" w14:textId="0F2784C3"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өмірлік циклдің барлық кезеңдерінен өту үшін микро және шағын кәсіпорындарды сапалы дамытуға;</w:t>
      </w:r>
    </w:p>
    <w:p w14:paraId="183E9082" w14:textId="37A1F3A2"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орта бизнестің тұрақты қабатын өсіруге;</w:t>
      </w:r>
    </w:p>
    <w:p w14:paraId="333A88D2" w14:textId="6058294D"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t>даму әлеуеті бар, бірақ олар әсер ете алмайтын қиын жағдайға тап болған кәсіпорындарды дағдарысқа қарсы қолдауға.</w:t>
      </w:r>
    </w:p>
    <w:p w14:paraId="2073448B" w14:textId="14E6EBD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lang w:val="kk-KZ"/>
        </w:rPr>
      </w:pPr>
      <w:r w:rsidRPr="00C93B12">
        <w:rPr>
          <w:rFonts w:ascii="Times New Roman" w:eastAsia="Times New Roman" w:hAnsi="Times New Roman" w:cs="Times New Roman"/>
          <w:color w:val="000000"/>
          <w:sz w:val="28"/>
          <w:szCs w:val="28"/>
          <w:lang w:val="kk-KZ"/>
        </w:rPr>
        <w:lastRenderedPageBreak/>
        <w:t>Осылайша, ісін жаңа бастаған кәсіпкерлерге (</w:t>
      </w:r>
      <w:r w:rsidR="00E65DB4" w:rsidRPr="00C93B12">
        <w:rPr>
          <w:rFonts w:ascii="Times New Roman" w:eastAsia="Times New Roman" w:hAnsi="Times New Roman" w:cs="Times New Roman"/>
          <w:color w:val="000000"/>
          <w:sz w:val="28"/>
          <w:szCs w:val="28"/>
          <w:lang w:val="kk-KZ"/>
        </w:rPr>
        <w:t>«</w:t>
      </w:r>
      <w:r w:rsidRPr="00C93B12">
        <w:rPr>
          <w:rFonts w:ascii="Times New Roman" w:eastAsia="Times New Roman" w:hAnsi="Times New Roman" w:cs="Times New Roman"/>
          <w:color w:val="000000"/>
          <w:sz w:val="28"/>
          <w:szCs w:val="28"/>
          <w:lang w:val="kk-KZ"/>
        </w:rPr>
        <w:t>қалыптасу кезеңі</w:t>
      </w:r>
      <w:r w:rsidR="00E65DB4" w:rsidRPr="00C93B12">
        <w:rPr>
          <w:rFonts w:ascii="Times New Roman" w:eastAsia="Times New Roman" w:hAnsi="Times New Roman" w:cs="Times New Roman"/>
          <w:color w:val="000000"/>
          <w:sz w:val="28"/>
          <w:szCs w:val="28"/>
          <w:lang w:val="kk-KZ"/>
        </w:rPr>
        <w:t>»</w:t>
      </w:r>
      <w:r w:rsidRPr="00C93B12">
        <w:rPr>
          <w:rFonts w:ascii="Times New Roman" w:eastAsia="Times New Roman" w:hAnsi="Times New Roman" w:cs="Times New Roman"/>
          <w:color w:val="000000"/>
          <w:sz w:val="28"/>
          <w:szCs w:val="28"/>
          <w:lang w:val="kk-KZ"/>
        </w:rPr>
        <w:t>) кәсіпкерлікке тән құндылықтарды дамытуға, сондай-ақ қажетті құзыреттерді дамытуға (консультациялар, оқыту, ақпараттандыру және т.б.), сондай-ақ қаржылық қолдау шараларының шектеулі санына (микрокредиттер, гранттар) бағытталған барлық қаржылық емес қолдау шараларына қол жеткізуді ұсыну түрінде ынталандыру ұсынылуы тиіс.</w:t>
      </w:r>
    </w:p>
    <w:p w14:paraId="311EC2C6"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Бұл ретте бизнестің осы санаты үшін тиісті қолдау шараларын алу үшін қатаң іріктеу критерийлері мен қарсы міндеттемелер ұсынылмайды.</w:t>
      </w:r>
    </w:p>
    <w:p w14:paraId="0422F73B"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Кәсіпкерлік белсенділіктің өсу сатысында бизнес субъектілеріне қаржылық қолдау шараларының лимиттелген кешені (субсидиялау, кепілдік беру, жеңілдікті кредиттеу түрінде) ұсынылатын болады, сондай-ақ қажетті қаржылық емес қолдау шаралары (қызметкерлердің біліктілігін арттыру, іскерлік байланыстар орнату, ішкі нарықта ТД қатысуын арттыру бойынша сүйемелдеу) қолжетімді болады.</w:t>
      </w:r>
    </w:p>
    <w:p w14:paraId="4C7348FB"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Мұндай компанияларды іріктеудің негізгі критерийлері ретінде:</w:t>
      </w:r>
    </w:p>
    <w:p w14:paraId="7DC3A803" w14:textId="77777777" w:rsidR="003221CA" w:rsidRPr="00C93B12" w:rsidRDefault="003221CA" w:rsidP="00E65DB4">
      <w:pPr>
        <w:shd w:val="clear" w:color="auto" w:fill="FFFFFF"/>
        <w:tabs>
          <w:tab w:val="left" w:pos="1134"/>
        </w:tabs>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1.</w:t>
      </w:r>
      <w:r w:rsidRPr="00C93B12">
        <w:rPr>
          <w:rFonts w:ascii="Times New Roman" w:eastAsia="Times New Roman" w:hAnsi="Times New Roman" w:cs="Times New Roman"/>
          <w:color w:val="000000" w:themeColor="text1"/>
          <w:sz w:val="28"/>
          <w:szCs w:val="28"/>
          <w:lang w:val="kk-KZ"/>
        </w:rPr>
        <w:tab/>
        <w:t>нарықта кемінде 3 жыл жұмыс істеуі;</w:t>
      </w:r>
    </w:p>
    <w:p w14:paraId="56116B55" w14:textId="77777777" w:rsidR="003221CA" w:rsidRPr="00C93B12" w:rsidRDefault="003221CA" w:rsidP="00E65DB4">
      <w:pPr>
        <w:shd w:val="clear" w:color="auto" w:fill="FFFFFF"/>
        <w:tabs>
          <w:tab w:val="left" w:pos="1134"/>
        </w:tabs>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2.</w:t>
      </w:r>
      <w:r w:rsidRPr="00C93B12">
        <w:rPr>
          <w:rFonts w:ascii="Times New Roman" w:eastAsia="Times New Roman" w:hAnsi="Times New Roman" w:cs="Times New Roman"/>
          <w:color w:val="000000" w:themeColor="text1"/>
          <w:sz w:val="28"/>
          <w:szCs w:val="28"/>
          <w:lang w:val="kk-KZ"/>
        </w:rPr>
        <w:tab/>
        <w:t>салық берешегінің болмауы;</w:t>
      </w:r>
    </w:p>
    <w:p w14:paraId="754F799C" w14:textId="77777777" w:rsidR="003221CA" w:rsidRPr="00C93B12" w:rsidRDefault="003221CA" w:rsidP="00E65DB4">
      <w:pPr>
        <w:shd w:val="clear" w:color="auto" w:fill="FFFFFF"/>
        <w:tabs>
          <w:tab w:val="left" w:pos="1134"/>
        </w:tabs>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3.</w:t>
      </w:r>
      <w:r w:rsidRPr="00C93B12">
        <w:rPr>
          <w:rFonts w:ascii="Times New Roman" w:eastAsia="Times New Roman" w:hAnsi="Times New Roman" w:cs="Times New Roman"/>
          <w:color w:val="000000" w:themeColor="text1"/>
          <w:sz w:val="28"/>
          <w:szCs w:val="28"/>
          <w:lang w:val="kk-KZ"/>
        </w:rPr>
        <w:tab/>
        <w:t>табыстың өсу қарқыны 10% - дан кем емес.</w:t>
      </w:r>
    </w:p>
    <w:p w14:paraId="04F95ECB" w14:textId="6F2CA1F5"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Өсуге әлеуеті бар, бірақ қиын жағдайға тап болған шағын және орта бизнес компаниялары үшін (</w:t>
      </w:r>
      <w:r w:rsidR="00E65DB4" w:rsidRPr="00C93B12">
        <w:rPr>
          <w:rFonts w:ascii="Times New Roman" w:eastAsia="Times New Roman" w:hAnsi="Times New Roman" w:cs="Times New Roman"/>
          <w:color w:val="000000" w:themeColor="text1"/>
          <w:sz w:val="28"/>
          <w:szCs w:val="28"/>
          <w:lang w:val="kk-KZ"/>
        </w:rPr>
        <w:t>«</w:t>
      </w:r>
      <w:r w:rsidRPr="00C93B12">
        <w:rPr>
          <w:rFonts w:ascii="Times New Roman" w:eastAsia="Times New Roman" w:hAnsi="Times New Roman" w:cs="Times New Roman"/>
          <w:color w:val="000000" w:themeColor="text1"/>
          <w:sz w:val="28"/>
          <w:szCs w:val="28"/>
          <w:lang w:val="kk-KZ"/>
        </w:rPr>
        <w:t>рецессия кезеңі</w:t>
      </w:r>
      <w:r w:rsidR="00E65DB4" w:rsidRPr="00C93B12">
        <w:rPr>
          <w:rFonts w:ascii="Times New Roman" w:eastAsia="Times New Roman" w:hAnsi="Times New Roman" w:cs="Times New Roman"/>
          <w:color w:val="000000" w:themeColor="text1"/>
          <w:sz w:val="28"/>
          <w:szCs w:val="28"/>
          <w:lang w:val="kk-KZ"/>
        </w:rPr>
        <w:t>»</w:t>
      </w:r>
      <w:r w:rsidRPr="00C93B12">
        <w:rPr>
          <w:rFonts w:ascii="Times New Roman" w:eastAsia="Times New Roman" w:hAnsi="Times New Roman" w:cs="Times New Roman"/>
          <w:color w:val="000000" w:themeColor="text1"/>
          <w:sz w:val="28"/>
          <w:szCs w:val="28"/>
          <w:lang w:val="kk-KZ"/>
        </w:rPr>
        <w:t>) дағдарыстық жағдайдан шығу бойынша ынталандыру ұсынылады (дағдарысқа қарсы бағдарламаларды енгізу, берешектерді өтеу, субсидиялау және т.б. түрінде).</w:t>
      </w:r>
    </w:p>
    <w:p w14:paraId="6DB654CE" w14:textId="77777777"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Мұндай ұйымның басты критерийі форс-мажордың мән-жайын және банкроттық рәсімдерінің жоқтығын растайтын құжат болады.</w:t>
      </w:r>
    </w:p>
    <w:p w14:paraId="06E0527C" w14:textId="7CF115DD"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Бизнесті қолдаудың мемлекеттік саясатының негізгі бағыты ұлттық экономиканың көшбасшыларына (</w:t>
      </w:r>
      <w:r w:rsidR="00E65DB4" w:rsidRPr="00C93B12">
        <w:rPr>
          <w:rFonts w:ascii="Times New Roman" w:eastAsia="Times New Roman" w:hAnsi="Times New Roman" w:cs="Times New Roman"/>
          <w:color w:val="000000" w:themeColor="text1"/>
          <w:sz w:val="28"/>
          <w:szCs w:val="28"/>
          <w:lang w:val="kk-KZ"/>
        </w:rPr>
        <w:t>«</w:t>
      </w:r>
      <w:r w:rsidRPr="00C93B12">
        <w:rPr>
          <w:rFonts w:ascii="Times New Roman" w:eastAsia="Times New Roman" w:hAnsi="Times New Roman" w:cs="Times New Roman"/>
          <w:color w:val="000000" w:themeColor="text1"/>
          <w:sz w:val="28"/>
          <w:szCs w:val="28"/>
          <w:lang w:val="kk-KZ"/>
        </w:rPr>
        <w:t>жетілу кезеңі</w:t>
      </w:r>
      <w:r w:rsidR="00E65DB4" w:rsidRPr="00C93B12">
        <w:rPr>
          <w:rFonts w:ascii="Times New Roman" w:eastAsia="Times New Roman" w:hAnsi="Times New Roman" w:cs="Times New Roman"/>
          <w:color w:val="000000" w:themeColor="text1"/>
          <w:sz w:val="28"/>
          <w:szCs w:val="28"/>
          <w:lang w:val="kk-KZ"/>
        </w:rPr>
        <w:t>»</w:t>
      </w:r>
      <w:r w:rsidRPr="00C93B12">
        <w:rPr>
          <w:rFonts w:ascii="Times New Roman" w:eastAsia="Times New Roman" w:hAnsi="Times New Roman" w:cs="Times New Roman"/>
          <w:color w:val="000000" w:themeColor="text1"/>
          <w:sz w:val="28"/>
          <w:szCs w:val="28"/>
          <w:lang w:val="kk-KZ"/>
        </w:rPr>
        <w:t xml:space="preserve">) кейіннен трансформациялану әлеуеті бар бәсекеге қабілетті орта буын экспортқа бағдарланған компанияларды дамытуға бағытталатын болады. </w:t>
      </w:r>
    </w:p>
    <w:p w14:paraId="7E57C520" w14:textId="5AF51021" w:rsidR="003221CA" w:rsidRPr="00C93B12" w:rsidRDefault="003221CA" w:rsidP="00E65DB4">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 xml:space="preserve">Аталған компаниялар үшін арнайы әзірленген </w:t>
      </w:r>
      <w:r w:rsidR="00E65DB4" w:rsidRPr="00C93B12">
        <w:rPr>
          <w:rFonts w:ascii="Times New Roman" w:eastAsia="Times New Roman" w:hAnsi="Times New Roman" w:cs="Times New Roman"/>
          <w:color w:val="000000" w:themeColor="text1"/>
          <w:sz w:val="28"/>
          <w:szCs w:val="28"/>
          <w:lang w:val="kk-KZ"/>
        </w:rPr>
        <w:t>«</w:t>
      </w:r>
      <w:r w:rsidRPr="00C93B12">
        <w:rPr>
          <w:rFonts w:ascii="Times New Roman" w:eastAsia="Times New Roman" w:hAnsi="Times New Roman" w:cs="Times New Roman"/>
          <w:color w:val="000000" w:themeColor="text1"/>
          <w:sz w:val="28"/>
          <w:szCs w:val="28"/>
          <w:lang w:val="kk-KZ"/>
        </w:rPr>
        <w:t xml:space="preserve">жаңа формациядағы </w:t>
      </w:r>
      <w:r w:rsidR="00E65DB4" w:rsidRPr="00C93B12">
        <w:rPr>
          <w:rFonts w:ascii="Times New Roman" w:eastAsia="Times New Roman" w:hAnsi="Times New Roman" w:cs="Times New Roman"/>
          <w:color w:val="000000" w:themeColor="text1"/>
          <w:sz w:val="28"/>
          <w:szCs w:val="28"/>
          <w:lang w:val="kk-KZ"/>
        </w:rPr>
        <w:t>б</w:t>
      </w:r>
      <w:r w:rsidRPr="00C93B12">
        <w:rPr>
          <w:rFonts w:ascii="Times New Roman" w:eastAsia="Times New Roman" w:hAnsi="Times New Roman" w:cs="Times New Roman"/>
          <w:color w:val="000000" w:themeColor="text1"/>
          <w:sz w:val="28"/>
          <w:szCs w:val="28"/>
          <w:lang w:val="kk-KZ"/>
        </w:rPr>
        <w:t>изнес – элита: жаһандану жолы</w:t>
      </w:r>
      <w:r w:rsidR="00E65DB4" w:rsidRPr="00C93B12">
        <w:rPr>
          <w:rFonts w:ascii="Times New Roman" w:eastAsia="Times New Roman" w:hAnsi="Times New Roman" w:cs="Times New Roman"/>
          <w:color w:val="000000" w:themeColor="text1"/>
          <w:sz w:val="28"/>
          <w:szCs w:val="28"/>
          <w:lang w:val="kk-KZ"/>
        </w:rPr>
        <w:t>»</w:t>
      </w:r>
      <w:r w:rsidRPr="00C93B12">
        <w:rPr>
          <w:rFonts w:ascii="Times New Roman" w:eastAsia="Times New Roman" w:hAnsi="Times New Roman" w:cs="Times New Roman"/>
          <w:color w:val="000000" w:themeColor="text1"/>
          <w:sz w:val="28"/>
          <w:szCs w:val="28"/>
          <w:lang w:val="kk-KZ"/>
        </w:rPr>
        <w:t xml:space="preserve"> бағдарламасы шеңберінде техникалық құжаттаманы әзірлеуге жәрдемдесуден бастап жеңілдетілген қаржыландырудың жекелеген шарттарына, пайыздық мөлшерлемені субсидиялауға, ішінара кепілдік беруге, лизингке, үлестік қаржыландыру құралдары мен нарықты пайдалануға дейін қолдаудың қаржылық және қаржылық емес шараларын қолдаудың кең спектрі ұсынылатын болады (облигациялар бойынша купондық сыйақы мөлшерлемесін субсидиялау), сондай-ақ қолдаудың өзге де тетіктерін қамтиды. Негізгі критерийлер ретінде қарастыру ұсынылады соның ішінде:</w:t>
      </w:r>
    </w:p>
    <w:p w14:paraId="6E5375A5"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Негізгі критерийлер мыналарға негізделеді:</w:t>
      </w:r>
    </w:p>
    <w:p w14:paraId="12D53EF8" w14:textId="739D4C95"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экспорттау - яғни, үміткер компания өз тауарларын, жұмыстарын, қызметтерін сыртқы нарықтарға өткізуі немесе өткізуді көздеуі тиіс;</w:t>
      </w:r>
    </w:p>
    <w:p w14:paraId="19DD65AC" w14:textId="40F4B49E"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жоғары Еңбек өнімділігі – жылына 1 қызметкерге еңбек өнімділігі 25 млн теңгеден асуы тиіс;</w:t>
      </w:r>
    </w:p>
    <w:p w14:paraId="5D922617" w14:textId="371EA138"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lastRenderedPageBreak/>
        <w:t>бюджетке тұрақты салық түсімдерінің болуы.</w:t>
      </w:r>
    </w:p>
    <w:p w14:paraId="4ACC1972"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 xml:space="preserve">Көрсетілген критерийлерге сәйкестікті бағалауды жүзеге асыру ұсынылады </w:t>
      </w:r>
    </w:p>
    <w:p w14:paraId="12F90322"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орталық мемлекеттік органдардың және ҚР Қаржы министрлігінің Мемлекеттік кірістер комитетінің деректері негізінде.</w:t>
      </w:r>
    </w:p>
    <w:p w14:paraId="75F9E539"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Бұл ретте аталған компанияларға бизнестің ашық есептілігін енгізе отырып, субъектілерге барумен тексерулерден және профилактикалық бақылаудан босату түрінде ынталандыру ұсынылатын болады.</w:t>
      </w:r>
    </w:p>
    <w:p w14:paraId="0EDBAC8D"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Қарсы міндеттемелер мемлекеттік ынталандыру шарасының түрі мен көлеміне қарай барабар айқындалатын болады және мынадай бағыттар бойынша жиынтықта немесе жеке қолданылатын болады:</w:t>
      </w:r>
    </w:p>
    <w:p w14:paraId="1C7765FB"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1) еңбек өнімділігін арттыру;</w:t>
      </w:r>
    </w:p>
    <w:p w14:paraId="2B900FF9"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2) экспортты жеткізуді ұлғайту;</w:t>
      </w:r>
    </w:p>
    <w:p w14:paraId="50C1895D"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3) салық түсімдерін ұлғайту.</w:t>
      </w:r>
    </w:p>
    <w:p w14:paraId="2BBFA0AF"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4) шикізатты өңдеуді тереңдету.</w:t>
      </w:r>
    </w:p>
    <w:p w14:paraId="718422A0"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Мұндай жобалық тәсіл ұлттық экономиканың көшбасшысы бола алатын мықты бәсекеге қабілетті компанияларды тәрбиелеу бойынша үздік әлемдік және отандық тәжірибелерді өзіне алады.</w:t>
      </w:r>
    </w:p>
    <w:p w14:paraId="75315825" w14:textId="77777777"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Мемлекеттік қолдау шараларының операторлары мемлекеттік қолдау шараларын алушылар туралы ақпаратты ашу туралы үлгілік шарттарды әзірлеу және бекіту бөлігінде қаражат беру жөніндегі қаржы операцияларының ашықтығын арттыру жөнінде жан-жақты шаралар қабылдауға тиіс.</w:t>
      </w:r>
    </w:p>
    <w:p w14:paraId="105DBC68" w14:textId="0EF61D0E" w:rsidR="003221CA" w:rsidRPr="00C93B12" w:rsidRDefault="003221CA" w:rsidP="00E65DB4">
      <w:pPr>
        <w:tabs>
          <w:tab w:val="left" w:pos="851"/>
          <w:tab w:val="left" w:pos="5940"/>
        </w:tabs>
        <w:spacing w:after="0" w:line="240" w:lineRule="auto"/>
        <w:ind w:firstLine="708"/>
        <w:jc w:val="both"/>
        <w:rPr>
          <w:rFonts w:ascii="Times New Roman" w:eastAsia="Times New Roman" w:hAnsi="Times New Roman" w:cs="Times New Roman"/>
          <w:color w:val="000000" w:themeColor="text1"/>
          <w:sz w:val="28"/>
          <w:szCs w:val="28"/>
          <w:lang w:val="kk-KZ"/>
        </w:rPr>
      </w:pPr>
      <w:r w:rsidRPr="00C93B12">
        <w:rPr>
          <w:rFonts w:ascii="Times New Roman" w:eastAsia="Times New Roman" w:hAnsi="Times New Roman" w:cs="Times New Roman"/>
          <w:color w:val="000000" w:themeColor="text1"/>
          <w:sz w:val="28"/>
          <w:szCs w:val="28"/>
          <w:lang w:val="kk-KZ"/>
        </w:rPr>
        <w:t>Мемлекеттік қолдау шараларын алу кезінде ашықтықты қамтамасыз ету мақсатында мемлекеттік аудит органдарына банктік құпияны ашуға мемлекеттік қолдау алушының келісімінің болуын көздейтін тиісті нормалардың қағидаларына, үлгілік шарттарына енгізу жолымен мемлекеттік аудит органдарының банктік құпияны құрайтын мәліметтерге қолжетімділігін ашу қажет. Бұл ретте бұл шарт мемлекеттік және квазимемлекеттік секторлардың барлық деңгейле</w:t>
      </w:r>
      <w:r w:rsidR="00DD7558" w:rsidRPr="00C93B12">
        <w:rPr>
          <w:rFonts w:ascii="Times New Roman" w:eastAsia="Times New Roman" w:hAnsi="Times New Roman" w:cs="Times New Roman"/>
          <w:color w:val="000000" w:themeColor="text1"/>
          <w:sz w:val="28"/>
          <w:szCs w:val="28"/>
          <w:lang w:val="kk-KZ"/>
        </w:rPr>
        <w:t>рінде қамтамасыз етілуге тиіс.</w:t>
      </w:r>
    </w:p>
    <w:p w14:paraId="02C7DC26" w14:textId="1BFDBFDD" w:rsidR="003221CA" w:rsidRPr="00C93B12" w:rsidRDefault="003221CA" w:rsidP="00E65DB4">
      <w:pPr>
        <w:spacing w:after="0" w:line="240" w:lineRule="auto"/>
        <w:ind w:firstLine="708"/>
        <w:contextualSpacing/>
        <w:jc w:val="both"/>
        <w:rPr>
          <w:rStyle w:val="s0"/>
          <w:sz w:val="28"/>
          <w:szCs w:val="28"/>
          <w:lang w:val="kk-KZ"/>
        </w:rPr>
      </w:pPr>
      <w:r w:rsidRPr="00C93B12">
        <w:rPr>
          <w:rStyle w:val="s0"/>
          <w:sz w:val="28"/>
          <w:szCs w:val="28"/>
          <w:lang w:val="kk-KZ"/>
        </w:rPr>
        <w:t xml:space="preserve">2.  </w:t>
      </w:r>
      <w:r w:rsidR="00D4192E">
        <w:rPr>
          <w:rStyle w:val="s0"/>
          <w:sz w:val="28"/>
          <w:szCs w:val="28"/>
          <w:lang w:val="kk-KZ"/>
        </w:rPr>
        <w:t xml:space="preserve">Көрсетілген қаулымен бекітілген, </w:t>
      </w:r>
      <w:bookmarkStart w:id="0" w:name="_GoBack"/>
      <w:bookmarkEnd w:id="0"/>
      <w:r w:rsidRPr="00C93B12">
        <w:rPr>
          <w:rStyle w:val="s0"/>
          <w:sz w:val="28"/>
          <w:szCs w:val="28"/>
          <w:lang w:val="kk-KZ"/>
        </w:rPr>
        <w:t>Қазақстан Республикасында шағын және орта кәсіпкерлікті дамытудың 2030 жылға дейінгі тұжырымдамасын іске асыру жөніндегі іс-қимыл жоспары осы қаулыға қосымшаға сәйкес жаңа редакцияда жазылсын.</w:t>
      </w:r>
    </w:p>
    <w:p w14:paraId="0FF0B62A" w14:textId="4525DF1F" w:rsidR="006C7AA0" w:rsidRPr="00C93B12" w:rsidRDefault="003221CA" w:rsidP="00E65DB4">
      <w:pPr>
        <w:spacing w:after="0" w:line="240" w:lineRule="auto"/>
        <w:ind w:firstLine="708"/>
        <w:contextualSpacing/>
        <w:jc w:val="both"/>
        <w:rPr>
          <w:rStyle w:val="s0"/>
          <w:sz w:val="28"/>
          <w:szCs w:val="28"/>
          <w:lang w:val="kk-KZ"/>
        </w:rPr>
      </w:pPr>
      <w:r w:rsidRPr="00C93B12">
        <w:rPr>
          <w:rStyle w:val="s0"/>
          <w:sz w:val="28"/>
          <w:szCs w:val="28"/>
          <w:lang w:val="kk-KZ"/>
        </w:rPr>
        <w:t>3. Осы қаулы алғашқы ресми жарияланған күнінен кейін күнтізбелік он күн өткен соң қолданысқа енгізіледі.</w:t>
      </w:r>
    </w:p>
    <w:p w14:paraId="58ED8146" w14:textId="77777777" w:rsidR="003221CA" w:rsidRPr="00C93B12" w:rsidRDefault="003221CA" w:rsidP="00E65DB4">
      <w:pPr>
        <w:spacing w:after="0" w:line="240" w:lineRule="auto"/>
        <w:ind w:firstLine="708"/>
        <w:contextualSpacing/>
        <w:jc w:val="both"/>
        <w:rPr>
          <w:rFonts w:ascii="Times New Roman" w:hAnsi="Times New Roman" w:cs="Times New Roman"/>
          <w:sz w:val="28"/>
          <w:szCs w:val="28"/>
          <w:lang w:val="kk-KZ"/>
        </w:rPr>
      </w:pPr>
    </w:p>
    <w:p w14:paraId="208930F7" w14:textId="77777777" w:rsidR="00FA756B" w:rsidRPr="00C93B12" w:rsidRDefault="00FA756B" w:rsidP="00E65DB4">
      <w:pPr>
        <w:spacing w:after="0" w:line="240" w:lineRule="auto"/>
        <w:ind w:firstLine="708"/>
        <w:contextualSpacing/>
        <w:jc w:val="both"/>
        <w:rPr>
          <w:rFonts w:ascii="Times New Roman" w:hAnsi="Times New Roman" w:cs="Times New Roman"/>
          <w:sz w:val="28"/>
          <w:szCs w:val="28"/>
          <w:lang w:val="kk-KZ"/>
        </w:rPr>
      </w:pPr>
    </w:p>
    <w:p w14:paraId="728BDE5E" w14:textId="77777777" w:rsidR="003221CA" w:rsidRDefault="003221CA" w:rsidP="00E65DB4">
      <w:pPr>
        <w:spacing w:after="0" w:line="240" w:lineRule="auto"/>
        <w:ind w:firstLine="708"/>
        <w:jc w:val="both"/>
        <w:rPr>
          <w:rFonts w:ascii="Times New Roman" w:hAnsi="Times New Roman" w:cs="Times New Roman"/>
          <w:b/>
          <w:sz w:val="28"/>
          <w:szCs w:val="28"/>
        </w:rPr>
      </w:pPr>
      <w:bookmarkStart w:id="1" w:name="z4"/>
      <w:r w:rsidRPr="003221CA">
        <w:rPr>
          <w:rFonts w:ascii="Times New Roman" w:hAnsi="Times New Roman" w:cs="Times New Roman"/>
          <w:b/>
          <w:sz w:val="28"/>
          <w:szCs w:val="28"/>
        </w:rPr>
        <w:t>Қазақстан Республикасының</w:t>
      </w:r>
    </w:p>
    <w:p w14:paraId="3A45FC5A" w14:textId="29B0434B" w:rsidR="002E7086" w:rsidRPr="00372214" w:rsidRDefault="00E65DB4" w:rsidP="00DD7558">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        </w:t>
      </w:r>
      <w:r w:rsidR="003221CA" w:rsidRPr="003221CA">
        <w:rPr>
          <w:rFonts w:ascii="Times New Roman" w:hAnsi="Times New Roman" w:cs="Times New Roman"/>
          <w:b/>
          <w:sz w:val="28"/>
          <w:szCs w:val="28"/>
        </w:rPr>
        <w:t xml:space="preserve"> Премьер-Министрі</w:t>
      </w:r>
      <w:r w:rsidR="004239F4" w:rsidRPr="002D0DFF">
        <w:rPr>
          <w:rFonts w:ascii="Times New Roman" w:hAnsi="Times New Roman" w:cs="Times New Roman"/>
          <w:b/>
          <w:sz w:val="28"/>
          <w:szCs w:val="28"/>
        </w:rPr>
        <w:tab/>
      </w:r>
      <w:r w:rsidR="004239F4" w:rsidRPr="002D0DFF">
        <w:rPr>
          <w:rFonts w:ascii="Times New Roman" w:hAnsi="Times New Roman" w:cs="Times New Roman"/>
          <w:b/>
          <w:sz w:val="28"/>
          <w:szCs w:val="28"/>
        </w:rPr>
        <w:tab/>
      </w:r>
      <w:r w:rsidR="004239F4" w:rsidRPr="002D0DFF">
        <w:rPr>
          <w:rFonts w:ascii="Times New Roman" w:hAnsi="Times New Roman" w:cs="Times New Roman"/>
          <w:b/>
          <w:sz w:val="28"/>
          <w:szCs w:val="28"/>
        </w:rPr>
        <w:tab/>
      </w:r>
      <w:r w:rsidR="00DD7558">
        <w:rPr>
          <w:rFonts w:ascii="Times New Roman" w:hAnsi="Times New Roman" w:cs="Times New Roman"/>
          <w:b/>
          <w:sz w:val="28"/>
          <w:szCs w:val="28"/>
        </w:rPr>
        <w:t xml:space="preserve">               </w:t>
      </w:r>
      <w:r w:rsidR="004239F4" w:rsidRPr="002D0DFF">
        <w:rPr>
          <w:rFonts w:ascii="Times New Roman" w:hAnsi="Times New Roman" w:cs="Times New Roman"/>
          <w:b/>
          <w:sz w:val="28"/>
          <w:szCs w:val="28"/>
        </w:rPr>
        <w:t xml:space="preserve"> </w:t>
      </w:r>
      <w:r w:rsidR="00833162" w:rsidRPr="002D0DFF">
        <w:rPr>
          <w:rFonts w:ascii="Times New Roman" w:hAnsi="Times New Roman" w:cs="Times New Roman"/>
          <w:b/>
          <w:sz w:val="28"/>
          <w:szCs w:val="28"/>
        </w:rPr>
        <w:t xml:space="preserve">          </w:t>
      </w:r>
      <w:r w:rsidR="004239F4" w:rsidRPr="002D0DFF">
        <w:rPr>
          <w:rFonts w:ascii="Times New Roman" w:hAnsi="Times New Roman" w:cs="Times New Roman"/>
          <w:b/>
          <w:sz w:val="28"/>
          <w:szCs w:val="28"/>
        </w:rPr>
        <w:t xml:space="preserve">  А. </w:t>
      </w:r>
      <w:bookmarkEnd w:id="1"/>
      <w:r w:rsidR="00672029" w:rsidRPr="002D0DFF">
        <w:rPr>
          <w:rFonts w:ascii="Times New Roman" w:hAnsi="Times New Roman" w:cs="Times New Roman"/>
          <w:b/>
          <w:sz w:val="28"/>
          <w:szCs w:val="28"/>
        </w:rPr>
        <w:t>Сма</w:t>
      </w:r>
      <w:r w:rsidR="00DD7558">
        <w:rPr>
          <w:rFonts w:ascii="Times New Roman" w:hAnsi="Times New Roman" w:cs="Times New Roman"/>
          <w:b/>
          <w:sz w:val="28"/>
          <w:szCs w:val="28"/>
        </w:rPr>
        <w:t>йы</w:t>
      </w:r>
      <w:r w:rsidR="00672029" w:rsidRPr="002D0DFF">
        <w:rPr>
          <w:rFonts w:ascii="Times New Roman" w:hAnsi="Times New Roman" w:cs="Times New Roman"/>
          <w:b/>
          <w:sz w:val="28"/>
          <w:szCs w:val="28"/>
        </w:rPr>
        <w:t>лов</w:t>
      </w:r>
      <w:r w:rsidR="00FA756B" w:rsidRPr="00372214">
        <w:rPr>
          <w:rFonts w:ascii="Times New Roman" w:hAnsi="Times New Roman" w:cs="Times New Roman"/>
          <w:b/>
          <w:sz w:val="28"/>
          <w:szCs w:val="28"/>
        </w:rPr>
        <w:t xml:space="preserve"> </w:t>
      </w:r>
    </w:p>
    <w:sectPr w:rsidR="002E7086" w:rsidRPr="00372214" w:rsidSect="00CA7CB6">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3F2AD" w14:textId="77777777" w:rsidR="003A68D8" w:rsidRDefault="003A68D8" w:rsidP="005119A0">
      <w:pPr>
        <w:spacing w:after="0" w:line="240" w:lineRule="auto"/>
      </w:pPr>
      <w:r>
        <w:separator/>
      </w:r>
    </w:p>
  </w:endnote>
  <w:endnote w:type="continuationSeparator" w:id="0">
    <w:p w14:paraId="4176388F" w14:textId="77777777" w:rsidR="003A68D8" w:rsidRDefault="003A68D8" w:rsidP="0051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9B1A7" w14:textId="77777777" w:rsidR="003A68D8" w:rsidRDefault="003A68D8" w:rsidP="005119A0">
      <w:pPr>
        <w:spacing w:after="0" w:line="240" w:lineRule="auto"/>
      </w:pPr>
      <w:r>
        <w:separator/>
      </w:r>
    </w:p>
  </w:footnote>
  <w:footnote w:type="continuationSeparator" w:id="0">
    <w:p w14:paraId="3582795B" w14:textId="77777777" w:rsidR="003A68D8" w:rsidRDefault="003A68D8" w:rsidP="005119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1788992"/>
      <w:docPartObj>
        <w:docPartGallery w:val="Page Numbers (Top of Page)"/>
        <w:docPartUnique/>
      </w:docPartObj>
    </w:sdtPr>
    <w:sdtEndPr>
      <w:rPr>
        <w:rFonts w:ascii="Times New Roman" w:hAnsi="Times New Roman" w:cs="Times New Roman"/>
        <w:sz w:val="24"/>
        <w:szCs w:val="24"/>
      </w:rPr>
    </w:sdtEndPr>
    <w:sdtContent>
      <w:p w14:paraId="114FDC14" w14:textId="4ED55CB9" w:rsidR="002A4D8E" w:rsidRPr="005119A0" w:rsidRDefault="002A4D8E">
        <w:pPr>
          <w:pStyle w:val="a7"/>
          <w:jc w:val="center"/>
          <w:rPr>
            <w:rFonts w:ascii="Times New Roman" w:hAnsi="Times New Roman" w:cs="Times New Roman"/>
            <w:sz w:val="24"/>
            <w:szCs w:val="24"/>
          </w:rPr>
        </w:pPr>
        <w:r w:rsidRPr="005119A0">
          <w:rPr>
            <w:rFonts w:ascii="Times New Roman" w:hAnsi="Times New Roman" w:cs="Times New Roman"/>
            <w:sz w:val="24"/>
            <w:szCs w:val="24"/>
          </w:rPr>
          <w:fldChar w:fldCharType="begin"/>
        </w:r>
        <w:r w:rsidRPr="005119A0">
          <w:rPr>
            <w:rFonts w:ascii="Times New Roman" w:hAnsi="Times New Roman" w:cs="Times New Roman"/>
            <w:sz w:val="24"/>
            <w:szCs w:val="24"/>
          </w:rPr>
          <w:instrText>PAGE   \* MERGEFORMAT</w:instrText>
        </w:r>
        <w:r w:rsidRPr="005119A0">
          <w:rPr>
            <w:rFonts w:ascii="Times New Roman" w:hAnsi="Times New Roman" w:cs="Times New Roman"/>
            <w:sz w:val="24"/>
            <w:szCs w:val="24"/>
          </w:rPr>
          <w:fldChar w:fldCharType="separate"/>
        </w:r>
        <w:r w:rsidR="00D4192E">
          <w:rPr>
            <w:rFonts w:ascii="Times New Roman" w:hAnsi="Times New Roman" w:cs="Times New Roman"/>
            <w:noProof/>
            <w:sz w:val="24"/>
            <w:szCs w:val="24"/>
          </w:rPr>
          <w:t>2</w:t>
        </w:r>
        <w:r w:rsidRPr="005119A0">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6256EB"/>
    <w:multiLevelType w:val="hybridMultilevel"/>
    <w:tmpl w:val="BC467B76"/>
    <w:lvl w:ilvl="0" w:tplc="CF80FC16">
      <w:start w:val="1"/>
      <w:numFmt w:val="decimal"/>
      <w:lvlText w:val="%1)"/>
      <w:lvlJc w:val="left"/>
      <w:pPr>
        <w:ind w:left="6314"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A45080C"/>
    <w:multiLevelType w:val="hybridMultilevel"/>
    <w:tmpl w:val="E2E2ADA6"/>
    <w:lvl w:ilvl="0" w:tplc="D5B64F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EC7"/>
    <w:rsid w:val="000014DD"/>
    <w:rsid w:val="00004DDE"/>
    <w:rsid w:val="00012933"/>
    <w:rsid w:val="00013D51"/>
    <w:rsid w:val="00022326"/>
    <w:rsid w:val="00023F6C"/>
    <w:rsid w:val="000324F5"/>
    <w:rsid w:val="00034157"/>
    <w:rsid w:val="00040111"/>
    <w:rsid w:val="00044452"/>
    <w:rsid w:val="00047E39"/>
    <w:rsid w:val="000547AB"/>
    <w:rsid w:val="0005489D"/>
    <w:rsid w:val="00060511"/>
    <w:rsid w:val="000633FF"/>
    <w:rsid w:val="00064C7E"/>
    <w:rsid w:val="000673A6"/>
    <w:rsid w:val="00094A15"/>
    <w:rsid w:val="00094D01"/>
    <w:rsid w:val="000A43AD"/>
    <w:rsid w:val="000C7BC9"/>
    <w:rsid w:val="000D1011"/>
    <w:rsid w:val="00112B04"/>
    <w:rsid w:val="0011530B"/>
    <w:rsid w:val="001233CF"/>
    <w:rsid w:val="00123CC9"/>
    <w:rsid w:val="0012654B"/>
    <w:rsid w:val="00131E63"/>
    <w:rsid w:val="0013609D"/>
    <w:rsid w:val="001425AF"/>
    <w:rsid w:val="00145EE1"/>
    <w:rsid w:val="001477AF"/>
    <w:rsid w:val="00151207"/>
    <w:rsid w:val="0015241B"/>
    <w:rsid w:val="001524C8"/>
    <w:rsid w:val="001536D1"/>
    <w:rsid w:val="0016562B"/>
    <w:rsid w:val="00165CFA"/>
    <w:rsid w:val="00165E00"/>
    <w:rsid w:val="0018107D"/>
    <w:rsid w:val="00184904"/>
    <w:rsid w:val="001969F3"/>
    <w:rsid w:val="00197F3A"/>
    <w:rsid w:val="001B2FF3"/>
    <w:rsid w:val="001B430C"/>
    <w:rsid w:val="001C349E"/>
    <w:rsid w:val="001C3C02"/>
    <w:rsid w:val="001D5291"/>
    <w:rsid w:val="001D53E9"/>
    <w:rsid w:val="001E493A"/>
    <w:rsid w:val="001F41BB"/>
    <w:rsid w:val="002036A1"/>
    <w:rsid w:val="002140D0"/>
    <w:rsid w:val="00214EB1"/>
    <w:rsid w:val="0021799C"/>
    <w:rsid w:val="002234D7"/>
    <w:rsid w:val="00227E8E"/>
    <w:rsid w:val="0023381F"/>
    <w:rsid w:val="00241453"/>
    <w:rsid w:val="00243CEE"/>
    <w:rsid w:val="002472E3"/>
    <w:rsid w:val="00250C79"/>
    <w:rsid w:val="00256422"/>
    <w:rsid w:val="00262724"/>
    <w:rsid w:val="0026629B"/>
    <w:rsid w:val="00272C90"/>
    <w:rsid w:val="00273EC7"/>
    <w:rsid w:val="002742EF"/>
    <w:rsid w:val="00274308"/>
    <w:rsid w:val="00275908"/>
    <w:rsid w:val="0028739D"/>
    <w:rsid w:val="002944E2"/>
    <w:rsid w:val="00297102"/>
    <w:rsid w:val="002A4D8E"/>
    <w:rsid w:val="002A618A"/>
    <w:rsid w:val="002B14DB"/>
    <w:rsid w:val="002B1E98"/>
    <w:rsid w:val="002B7678"/>
    <w:rsid w:val="002C1AF3"/>
    <w:rsid w:val="002C4D4E"/>
    <w:rsid w:val="002D0DFF"/>
    <w:rsid w:val="002D28F9"/>
    <w:rsid w:val="002D6CA6"/>
    <w:rsid w:val="002E11EC"/>
    <w:rsid w:val="002E44C6"/>
    <w:rsid w:val="002E6815"/>
    <w:rsid w:val="002E7086"/>
    <w:rsid w:val="002E7943"/>
    <w:rsid w:val="002F7D1D"/>
    <w:rsid w:val="00310335"/>
    <w:rsid w:val="0031347B"/>
    <w:rsid w:val="00314761"/>
    <w:rsid w:val="003221CA"/>
    <w:rsid w:val="00331AA3"/>
    <w:rsid w:val="003568C6"/>
    <w:rsid w:val="003576DC"/>
    <w:rsid w:val="00361B40"/>
    <w:rsid w:val="00364BE2"/>
    <w:rsid w:val="00370F07"/>
    <w:rsid w:val="00372214"/>
    <w:rsid w:val="00373A32"/>
    <w:rsid w:val="00386D0E"/>
    <w:rsid w:val="00396831"/>
    <w:rsid w:val="003A0358"/>
    <w:rsid w:val="003A2C21"/>
    <w:rsid w:val="003A3953"/>
    <w:rsid w:val="003A68D8"/>
    <w:rsid w:val="003C0C9B"/>
    <w:rsid w:val="003C1ED7"/>
    <w:rsid w:val="003C2630"/>
    <w:rsid w:val="003C28BE"/>
    <w:rsid w:val="003C5B0C"/>
    <w:rsid w:val="003D12E8"/>
    <w:rsid w:val="003D2D0B"/>
    <w:rsid w:val="003D3CCE"/>
    <w:rsid w:val="003D4CA6"/>
    <w:rsid w:val="003D5D03"/>
    <w:rsid w:val="003E04B7"/>
    <w:rsid w:val="003E1C1C"/>
    <w:rsid w:val="003E25F5"/>
    <w:rsid w:val="004001EC"/>
    <w:rsid w:val="004052D5"/>
    <w:rsid w:val="00406DAF"/>
    <w:rsid w:val="00410248"/>
    <w:rsid w:val="00420CA0"/>
    <w:rsid w:val="00420CB7"/>
    <w:rsid w:val="00421260"/>
    <w:rsid w:val="00422DF7"/>
    <w:rsid w:val="004239F4"/>
    <w:rsid w:val="0043740B"/>
    <w:rsid w:val="00437BF7"/>
    <w:rsid w:val="0045137A"/>
    <w:rsid w:val="00456DD4"/>
    <w:rsid w:val="00461897"/>
    <w:rsid w:val="0046730D"/>
    <w:rsid w:val="00470876"/>
    <w:rsid w:val="00472C98"/>
    <w:rsid w:val="0047399D"/>
    <w:rsid w:val="00477DEC"/>
    <w:rsid w:val="004831E2"/>
    <w:rsid w:val="004866B0"/>
    <w:rsid w:val="00487773"/>
    <w:rsid w:val="004A0531"/>
    <w:rsid w:val="004B1399"/>
    <w:rsid w:val="004B3649"/>
    <w:rsid w:val="004B6C5B"/>
    <w:rsid w:val="004C1B4B"/>
    <w:rsid w:val="004C23AC"/>
    <w:rsid w:val="004C3C39"/>
    <w:rsid w:val="004C4AC7"/>
    <w:rsid w:val="004D2625"/>
    <w:rsid w:val="004D36EF"/>
    <w:rsid w:val="004E39A5"/>
    <w:rsid w:val="004E5401"/>
    <w:rsid w:val="004E7EE4"/>
    <w:rsid w:val="004F228F"/>
    <w:rsid w:val="00504757"/>
    <w:rsid w:val="00510126"/>
    <w:rsid w:val="005119A0"/>
    <w:rsid w:val="00513866"/>
    <w:rsid w:val="00520C07"/>
    <w:rsid w:val="005220F6"/>
    <w:rsid w:val="005305C4"/>
    <w:rsid w:val="005334F6"/>
    <w:rsid w:val="005418FF"/>
    <w:rsid w:val="00541DF1"/>
    <w:rsid w:val="00546D48"/>
    <w:rsid w:val="0055469E"/>
    <w:rsid w:val="0055561B"/>
    <w:rsid w:val="0056458B"/>
    <w:rsid w:val="00571D0B"/>
    <w:rsid w:val="00574113"/>
    <w:rsid w:val="005748C2"/>
    <w:rsid w:val="00577395"/>
    <w:rsid w:val="00581557"/>
    <w:rsid w:val="005923A1"/>
    <w:rsid w:val="00594832"/>
    <w:rsid w:val="00594870"/>
    <w:rsid w:val="005962B9"/>
    <w:rsid w:val="005A00AE"/>
    <w:rsid w:val="005A1A50"/>
    <w:rsid w:val="005A1C52"/>
    <w:rsid w:val="005A3333"/>
    <w:rsid w:val="005D200C"/>
    <w:rsid w:val="005D34F5"/>
    <w:rsid w:val="005D5A26"/>
    <w:rsid w:val="005F17F7"/>
    <w:rsid w:val="005F2D80"/>
    <w:rsid w:val="005F52F9"/>
    <w:rsid w:val="005F7017"/>
    <w:rsid w:val="00601E24"/>
    <w:rsid w:val="0061340C"/>
    <w:rsid w:val="00614E2F"/>
    <w:rsid w:val="00617BA7"/>
    <w:rsid w:val="006335CF"/>
    <w:rsid w:val="006335F5"/>
    <w:rsid w:val="00636373"/>
    <w:rsid w:val="00636E61"/>
    <w:rsid w:val="0065067B"/>
    <w:rsid w:val="006554F9"/>
    <w:rsid w:val="006617D5"/>
    <w:rsid w:val="00672029"/>
    <w:rsid w:val="00674822"/>
    <w:rsid w:val="00676CD2"/>
    <w:rsid w:val="00677085"/>
    <w:rsid w:val="00680831"/>
    <w:rsid w:val="0068787C"/>
    <w:rsid w:val="006973FA"/>
    <w:rsid w:val="00697AA0"/>
    <w:rsid w:val="006A028F"/>
    <w:rsid w:val="006A71E4"/>
    <w:rsid w:val="006C2A01"/>
    <w:rsid w:val="006C7AA0"/>
    <w:rsid w:val="006C7FD8"/>
    <w:rsid w:val="006D62EE"/>
    <w:rsid w:val="006E065B"/>
    <w:rsid w:val="006E3306"/>
    <w:rsid w:val="006E3380"/>
    <w:rsid w:val="006E65C8"/>
    <w:rsid w:val="006E6ABB"/>
    <w:rsid w:val="006F43F3"/>
    <w:rsid w:val="006F6ED5"/>
    <w:rsid w:val="007007FA"/>
    <w:rsid w:val="0070120F"/>
    <w:rsid w:val="00701753"/>
    <w:rsid w:val="00711AB6"/>
    <w:rsid w:val="007130D4"/>
    <w:rsid w:val="0071649A"/>
    <w:rsid w:val="00717767"/>
    <w:rsid w:val="00733DEA"/>
    <w:rsid w:val="007459B4"/>
    <w:rsid w:val="0075591B"/>
    <w:rsid w:val="00756337"/>
    <w:rsid w:val="00761993"/>
    <w:rsid w:val="00762DCD"/>
    <w:rsid w:val="00763281"/>
    <w:rsid w:val="00785124"/>
    <w:rsid w:val="00786308"/>
    <w:rsid w:val="00793A86"/>
    <w:rsid w:val="00795592"/>
    <w:rsid w:val="0079692B"/>
    <w:rsid w:val="0079788C"/>
    <w:rsid w:val="007A004C"/>
    <w:rsid w:val="007A7B8C"/>
    <w:rsid w:val="007B042D"/>
    <w:rsid w:val="007B0D99"/>
    <w:rsid w:val="007B1934"/>
    <w:rsid w:val="007B4F6D"/>
    <w:rsid w:val="007B5212"/>
    <w:rsid w:val="007B771C"/>
    <w:rsid w:val="007C5801"/>
    <w:rsid w:val="007C6711"/>
    <w:rsid w:val="007D2273"/>
    <w:rsid w:val="007D4CFB"/>
    <w:rsid w:val="007E0BE2"/>
    <w:rsid w:val="007E48F3"/>
    <w:rsid w:val="007F0154"/>
    <w:rsid w:val="007F7384"/>
    <w:rsid w:val="008070BD"/>
    <w:rsid w:val="00815180"/>
    <w:rsid w:val="008201BB"/>
    <w:rsid w:val="00833162"/>
    <w:rsid w:val="0083528B"/>
    <w:rsid w:val="008364C5"/>
    <w:rsid w:val="008433E9"/>
    <w:rsid w:val="00846FA2"/>
    <w:rsid w:val="00855587"/>
    <w:rsid w:val="0085685B"/>
    <w:rsid w:val="008650B9"/>
    <w:rsid w:val="0087660F"/>
    <w:rsid w:val="008775C5"/>
    <w:rsid w:val="0088103A"/>
    <w:rsid w:val="00881600"/>
    <w:rsid w:val="0089033E"/>
    <w:rsid w:val="008A0998"/>
    <w:rsid w:val="008A3D69"/>
    <w:rsid w:val="008A6BBF"/>
    <w:rsid w:val="008B6F0F"/>
    <w:rsid w:val="008C3876"/>
    <w:rsid w:val="008C7BAB"/>
    <w:rsid w:val="008D2F1C"/>
    <w:rsid w:val="008D3CFE"/>
    <w:rsid w:val="008D4B42"/>
    <w:rsid w:val="008E26AD"/>
    <w:rsid w:val="008E5057"/>
    <w:rsid w:val="008E5C46"/>
    <w:rsid w:val="008F5A4A"/>
    <w:rsid w:val="0090336E"/>
    <w:rsid w:val="00906648"/>
    <w:rsid w:val="009113A5"/>
    <w:rsid w:val="00913EEE"/>
    <w:rsid w:val="009220C8"/>
    <w:rsid w:val="009237D8"/>
    <w:rsid w:val="00927EE6"/>
    <w:rsid w:val="0093248F"/>
    <w:rsid w:val="0094124B"/>
    <w:rsid w:val="009419E8"/>
    <w:rsid w:val="0094443A"/>
    <w:rsid w:val="00962AB8"/>
    <w:rsid w:val="009656D8"/>
    <w:rsid w:val="00981AD8"/>
    <w:rsid w:val="00983951"/>
    <w:rsid w:val="00983BE8"/>
    <w:rsid w:val="009858D0"/>
    <w:rsid w:val="009A0815"/>
    <w:rsid w:val="009A4CB5"/>
    <w:rsid w:val="009A596B"/>
    <w:rsid w:val="009B35DD"/>
    <w:rsid w:val="009B4D5C"/>
    <w:rsid w:val="009C5154"/>
    <w:rsid w:val="009D14A1"/>
    <w:rsid w:val="009E0BE1"/>
    <w:rsid w:val="009E5D48"/>
    <w:rsid w:val="00A03A40"/>
    <w:rsid w:val="00A1139F"/>
    <w:rsid w:val="00A23D87"/>
    <w:rsid w:val="00A26E21"/>
    <w:rsid w:val="00A2745E"/>
    <w:rsid w:val="00A33233"/>
    <w:rsid w:val="00A36C4B"/>
    <w:rsid w:val="00A455B6"/>
    <w:rsid w:val="00A4606F"/>
    <w:rsid w:val="00A5440F"/>
    <w:rsid w:val="00A60F80"/>
    <w:rsid w:val="00A630E9"/>
    <w:rsid w:val="00A6479E"/>
    <w:rsid w:val="00A64E4D"/>
    <w:rsid w:val="00A75081"/>
    <w:rsid w:val="00A76D9F"/>
    <w:rsid w:val="00A77E45"/>
    <w:rsid w:val="00A84EF3"/>
    <w:rsid w:val="00A877A0"/>
    <w:rsid w:val="00A941AF"/>
    <w:rsid w:val="00A94512"/>
    <w:rsid w:val="00AB2D01"/>
    <w:rsid w:val="00AB514B"/>
    <w:rsid w:val="00AC0616"/>
    <w:rsid w:val="00AD0A78"/>
    <w:rsid w:val="00AD79C4"/>
    <w:rsid w:val="00AE1E0B"/>
    <w:rsid w:val="00AF0DC3"/>
    <w:rsid w:val="00B11553"/>
    <w:rsid w:val="00B12DD7"/>
    <w:rsid w:val="00B21C8B"/>
    <w:rsid w:val="00B25B16"/>
    <w:rsid w:val="00B327D5"/>
    <w:rsid w:val="00B46414"/>
    <w:rsid w:val="00B62162"/>
    <w:rsid w:val="00B66544"/>
    <w:rsid w:val="00B714F2"/>
    <w:rsid w:val="00B71877"/>
    <w:rsid w:val="00B71B00"/>
    <w:rsid w:val="00B77BBA"/>
    <w:rsid w:val="00B81ED1"/>
    <w:rsid w:val="00BA1A2B"/>
    <w:rsid w:val="00BB1376"/>
    <w:rsid w:val="00BB1462"/>
    <w:rsid w:val="00BB18D0"/>
    <w:rsid w:val="00BB18F9"/>
    <w:rsid w:val="00BC1FFB"/>
    <w:rsid w:val="00BC4E36"/>
    <w:rsid w:val="00BC5125"/>
    <w:rsid w:val="00BD1EFC"/>
    <w:rsid w:val="00BD3873"/>
    <w:rsid w:val="00BD4FA1"/>
    <w:rsid w:val="00BD69AD"/>
    <w:rsid w:val="00BE244D"/>
    <w:rsid w:val="00BE4171"/>
    <w:rsid w:val="00BE4C03"/>
    <w:rsid w:val="00BE524E"/>
    <w:rsid w:val="00BE7C0E"/>
    <w:rsid w:val="00BF0B51"/>
    <w:rsid w:val="00BF4515"/>
    <w:rsid w:val="00BF58D2"/>
    <w:rsid w:val="00C11C60"/>
    <w:rsid w:val="00C12D31"/>
    <w:rsid w:val="00C1475E"/>
    <w:rsid w:val="00C2314E"/>
    <w:rsid w:val="00C23957"/>
    <w:rsid w:val="00C251D2"/>
    <w:rsid w:val="00C307E2"/>
    <w:rsid w:val="00C4117F"/>
    <w:rsid w:val="00C41402"/>
    <w:rsid w:val="00C665CA"/>
    <w:rsid w:val="00C71184"/>
    <w:rsid w:val="00C762EC"/>
    <w:rsid w:val="00C8063A"/>
    <w:rsid w:val="00C846C1"/>
    <w:rsid w:val="00C90E8E"/>
    <w:rsid w:val="00C93B12"/>
    <w:rsid w:val="00CA2512"/>
    <w:rsid w:val="00CA7CB6"/>
    <w:rsid w:val="00CB0C3A"/>
    <w:rsid w:val="00CD3387"/>
    <w:rsid w:val="00CF24DF"/>
    <w:rsid w:val="00CF2C7A"/>
    <w:rsid w:val="00D0247A"/>
    <w:rsid w:val="00D02829"/>
    <w:rsid w:val="00D11E1D"/>
    <w:rsid w:val="00D1447F"/>
    <w:rsid w:val="00D23C4B"/>
    <w:rsid w:val="00D25208"/>
    <w:rsid w:val="00D30FBA"/>
    <w:rsid w:val="00D4192E"/>
    <w:rsid w:val="00D4298F"/>
    <w:rsid w:val="00D42F02"/>
    <w:rsid w:val="00D43B79"/>
    <w:rsid w:val="00D478DC"/>
    <w:rsid w:val="00D548FA"/>
    <w:rsid w:val="00D61B05"/>
    <w:rsid w:val="00D649D0"/>
    <w:rsid w:val="00D66749"/>
    <w:rsid w:val="00D72957"/>
    <w:rsid w:val="00D73ED7"/>
    <w:rsid w:val="00D76D05"/>
    <w:rsid w:val="00D8115F"/>
    <w:rsid w:val="00D81E1A"/>
    <w:rsid w:val="00D829CE"/>
    <w:rsid w:val="00D853AF"/>
    <w:rsid w:val="00D97399"/>
    <w:rsid w:val="00DA39E6"/>
    <w:rsid w:val="00DA3EF1"/>
    <w:rsid w:val="00DB3FFE"/>
    <w:rsid w:val="00DD06ED"/>
    <w:rsid w:val="00DD7558"/>
    <w:rsid w:val="00DE36C3"/>
    <w:rsid w:val="00DE3B9A"/>
    <w:rsid w:val="00DE42B3"/>
    <w:rsid w:val="00DF06B3"/>
    <w:rsid w:val="00DF7E76"/>
    <w:rsid w:val="00E01640"/>
    <w:rsid w:val="00E07FC7"/>
    <w:rsid w:val="00E14ABB"/>
    <w:rsid w:val="00E15D23"/>
    <w:rsid w:val="00E26DD2"/>
    <w:rsid w:val="00E34F8D"/>
    <w:rsid w:val="00E4029D"/>
    <w:rsid w:val="00E41826"/>
    <w:rsid w:val="00E448AD"/>
    <w:rsid w:val="00E60931"/>
    <w:rsid w:val="00E60F3D"/>
    <w:rsid w:val="00E616D1"/>
    <w:rsid w:val="00E65DB4"/>
    <w:rsid w:val="00E67450"/>
    <w:rsid w:val="00E67BE8"/>
    <w:rsid w:val="00E75442"/>
    <w:rsid w:val="00E77B89"/>
    <w:rsid w:val="00E853B0"/>
    <w:rsid w:val="00E8698B"/>
    <w:rsid w:val="00E90EE7"/>
    <w:rsid w:val="00E94D3C"/>
    <w:rsid w:val="00EA350E"/>
    <w:rsid w:val="00EA606B"/>
    <w:rsid w:val="00EA6D4A"/>
    <w:rsid w:val="00EA7970"/>
    <w:rsid w:val="00EB6838"/>
    <w:rsid w:val="00EC1962"/>
    <w:rsid w:val="00ED31E5"/>
    <w:rsid w:val="00EE6D69"/>
    <w:rsid w:val="00F010FF"/>
    <w:rsid w:val="00F126EE"/>
    <w:rsid w:val="00F26472"/>
    <w:rsid w:val="00F27426"/>
    <w:rsid w:val="00F33570"/>
    <w:rsid w:val="00F3733C"/>
    <w:rsid w:val="00F438AC"/>
    <w:rsid w:val="00F55834"/>
    <w:rsid w:val="00F710D0"/>
    <w:rsid w:val="00F82741"/>
    <w:rsid w:val="00F84F91"/>
    <w:rsid w:val="00F91F47"/>
    <w:rsid w:val="00FA6E6E"/>
    <w:rsid w:val="00FA756B"/>
    <w:rsid w:val="00FB3E27"/>
    <w:rsid w:val="00FC2950"/>
    <w:rsid w:val="00FD205E"/>
    <w:rsid w:val="00FD3E10"/>
    <w:rsid w:val="00FD48F0"/>
    <w:rsid w:val="00FD6066"/>
    <w:rsid w:val="00FF002B"/>
    <w:rsid w:val="00FF562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09C0B"/>
  <w15:docId w15:val="{E746DBD1-BF5B-4276-B900-2737DAE72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8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273EC7"/>
    <w:rPr>
      <w:rFonts w:ascii="Times New Roman" w:hAnsi="Times New Roman" w:cs="Times New Roman" w:hint="default"/>
      <w:b/>
      <w:bCs/>
      <w:color w:val="000000"/>
    </w:rPr>
  </w:style>
  <w:style w:type="paragraph" w:styleId="a3">
    <w:name w:val="List Paragraph"/>
    <w:aliases w:val="Абзац,Heading1,Colorful List - Accent 11,Colorful List - Accent 11CxSpLast,H1-1,Абзац с отступом,маркированный,Перечисление,Bullet List,FooterText,numbered,List Paragraph,Bullets before,Elenco Normale,Список 1,Средняя сетка 1 - Акцент 21"/>
    <w:basedOn w:val="a"/>
    <w:link w:val="a4"/>
    <w:uiPriority w:val="34"/>
    <w:qFormat/>
    <w:rsid w:val="00273EC7"/>
    <w:pPr>
      <w:ind w:left="720"/>
      <w:contextualSpacing/>
    </w:pPr>
  </w:style>
  <w:style w:type="character" w:customStyle="1" w:styleId="a4">
    <w:name w:val="Абзац списка Знак"/>
    <w:aliases w:val="Абзац Знак,Heading1 Знак,Colorful List - Accent 11 Знак,Colorful List - Accent 11CxSpLast Знак,H1-1 Знак,Абзац с отступом Знак,маркированный Знак,Перечисление Знак,Bullet List Знак,FooterText Знак,numbered Знак,List Paragraph Знак"/>
    <w:link w:val="a3"/>
    <w:uiPriority w:val="99"/>
    <w:locked/>
    <w:rsid w:val="00273EC7"/>
  </w:style>
  <w:style w:type="character" w:styleId="a5">
    <w:name w:val="Hyperlink"/>
    <w:uiPriority w:val="99"/>
    <w:semiHidden/>
    <w:unhideWhenUsed/>
    <w:rsid w:val="00273EC7"/>
    <w:rPr>
      <w:color w:val="333399"/>
      <w:u w:val="single"/>
    </w:rPr>
  </w:style>
  <w:style w:type="character" w:customStyle="1" w:styleId="s2">
    <w:name w:val="s2"/>
    <w:rsid w:val="00273EC7"/>
    <w:rPr>
      <w:rFonts w:ascii="Times New Roman" w:hAnsi="Times New Roman" w:cs="Times New Roman" w:hint="default"/>
      <w:color w:val="333399"/>
      <w:u w:val="single"/>
    </w:rPr>
  </w:style>
  <w:style w:type="character" w:customStyle="1" w:styleId="s0">
    <w:name w:val="s0"/>
    <w:rsid w:val="00273EC7"/>
    <w:rPr>
      <w:rFonts w:ascii="Times New Roman" w:eastAsia="SimSun" w:hAnsi="Times New Roman" w:cs="Times New Roman"/>
      <w:color w:val="000000"/>
      <w:sz w:val="20"/>
      <w:szCs w:val="20"/>
      <w:u w:val="none"/>
      <w:effect w:val="none"/>
      <w:lang w:val="en-US" w:eastAsia="en-US"/>
    </w:rPr>
  </w:style>
  <w:style w:type="character" w:customStyle="1" w:styleId="a6">
    <w:name w:val="a"/>
    <w:rsid w:val="00273EC7"/>
    <w:rPr>
      <w:color w:val="333399"/>
      <w:u w:val="single"/>
    </w:rPr>
  </w:style>
  <w:style w:type="paragraph" w:styleId="a7">
    <w:name w:val="header"/>
    <w:basedOn w:val="a"/>
    <w:link w:val="a8"/>
    <w:uiPriority w:val="99"/>
    <w:unhideWhenUsed/>
    <w:rsid w:val="005119A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119A0"/>
  </w:style>
  <w:style w:type="paragraph" w:styleId="a9">
    <w:name w:val="footer"/>
    <w:basedOn w:val="a"/>
    <w:link w:val="aa"/>
    <w:uiPriority w:val="99"/>
    <w:unhideWhenUsed/>
    <w:rsid w:val="005119A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19A0"/>
  </w:style>
  <w:style w:type="paragraph" w:styleId="ab">
    <w:name w:val="Balloon Text"/>
    <w:basedOn w:val="a"/>
    <w:link w:val="ac"/>
    <w:uiPriority w:val="99"/>
    <w:semiHidden/>
    <w:unhideWhenUsed/>
    <w:rsid w:val="002234D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234D7"/>
    <w:rPr>
      <w:rFonts w:ascii="Segoe UI" w:hAnsi="Segoe UI" w:cs="Segoe UI"/>
      <w:sz w:val="18"/>
      <w:szCs w:val="18"/>
    </w:rPr>
  </w:style>
  <w:style w:type="paragraph" w:styleId="ad">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
    <w:basedOn w:val="a"/>
    <w:link w:val="ae"/>
    <w:uiPriority w:val="99"/>
    <w:unhideWhenUsed/>
    <w:qFormat/>
    <w:rsid w:val="004B13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461897"/>
    <w:pPr>
      <w:spacing w:after="0" w:line="240" w:lineRule="auto"/>
      <w:ind w:firstLine="400"/>
      <w:jc w:val="both"/>
    </w:pPr>
    <w:rPr>
      <w:rFonts w:ascii="Times New Roman" w:eastAsia="Times New Roman" w:hAnsi="Times New Roman" w:cs="Times New Roman"/>
      <w:color w:val="000000"/>
      <w:sz w:val="24"/>
      <w:szCs w:val="24"/>
      <w:lang w:eastAsia="ru-RU"/>
    </w:rPr>
  </w:style>
  <w:style w:type="character" w:customStyle="1" w:styleId="ae">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 Знак"/>
    <w:link w:val="ad"/>
    <w:uiPriority w:val="99"/>
    <w:locked/>
    <w:rsid w:val="00711AB6"/>
    <w:rPr>
      <w:rFonts w:ascii="Times New Roman" w:eastAsia="Times New Roman" w:hAnsi="Times New Roman" w:cs="Times New Roman"/>
      <w:sz w:val="24"/>
      <w:szCs w:val="24"/>
      <w:lang w:eastAsia="ru-RU"/>
    </w:rPr>
  </w:style>
  <w:style w:type="paragraph" w:customStyle="1" w:styleId="pc">
    <w:name w:val="pc"/>
    <w:basedOn w:val="a"/>
    <w:rsid w:val="00906648"/>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pji">
    <w:name w:val="pji"/>
    <w:basedOn w:val="a"/>
    <w:rsid w:val="002E7086"/>
    <w:pPr>
      <w:spacing w:after="0" w:line="240" w:lineRule="auto"/>
      <w:jc w:val="both"/>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57428">
      <w:bodyDiv w:val="1"/>
      <w:marLeft w:val="0"/>
      <w:marRight w:val="0"/>
      <w:marTop w:val="0"/>
      <w:marBottom w:val="0"/>
      <w:divBdr>
        <w:top w:val="none" w:sz="0" w:space="0" w:color="auto"/>
        <w:left w:val="none" w:sz="0" w:space="0" w:color="auto"/>
        <w:bottom w:val="none" w:sz="0" w:space="0" w:color="auto"/>
        <w:right w:val="none" w:sz="0" w:space="0" w:color="auto"/>
      </w:divBdr>
    </w:div>
    <w:div w:id="83234928">
      <w:bodyDiv w:val="1"/>
      <w:marLeft w:val="0"/>
      <w:marRight w:val="0"/>
      <w:marTop w:val="0"/>
      <w:marBottom w:val="0"/>
      <w:divBdr>
        <w:top w:val="none" w:sz="0" w:space="0" w:color="auto"/>
        <w:left w:val="none" w:sz="0" w:space="0" w:color="auto"/>
        <w:bottom w:val="none" w:sz="0" w:space="0" w:color="auto"/>
        <w:right w:val="none" w:sz="0" w:space="0" w:color="auto"/>
      </w:divBdr>
    </w:div>
    <w:div w:id="94057560">
      <w:bodyDiv w:val="1"/>
      <w:marLeft w:val="0"/>
      <w:marRight w:val="0"/>
      <w:marTop w:val="0"/>
      <w:marBottom w:val="0"/>
      <w:divBdr>
        <w:top w:val="none" w:sz="0" w:space="0" w:color="auto"/>
        <w:left w:val="none" w:sz="0" w:space="0" w:color="auto"/>
        <w:bottom w:val="none" w:sz="0" w:space="0" w:color="auto"/>
        <w:right w:val="none" w:sz="0" w:space="0" w:color="auto"/>
      </w:divBdr>
    </w:div>
    <w:div w:id="136149687">
      <w:bodyDiv w:val="1"/>
      <w:marLeft w:val="0"/>
      <w:marRight w:val="0"/>
      <w:marTop w:val="0"/>
      <w:marBottom w:val="0"/>
      <w:divBdr>
        <w:top w:val="none" w:sz="0" w:space="0" w:color="auto"/>
        <w:left w:val="none" w:sz="0" w:space="0" w:color="auto"/>
        <w:bottom w:val="none" w:sz="0" w:space="0" w:color="auto"/>
        <w:right w:val="none" w:sz="0" w:space="0" w:color="auto"/>
      </w:divBdr>
    </w:div>
    <w:div w:id="241720379">
      <w:bodyDiv w:val="1"/>
      <w:marLeft w:val="0"/>
      <w:marRight w:val="0"/>
      <w:marTop w:val="0"/>
      <w:marBottom w:val="0"/>
      <w:divBdr>
        <w:top w:val="none" w:sz="0" w:space="0" w:color="auto"/>
        <w:left w:val="none" w:sz="0" w:space="0" w:color="auto"/>
        <w:bottom w:val="none" w:sz="0" w:space="0" w:color="auto"/>
        <w:right w:val="none" w:sz="0" w:space="0" w:color="auto"/>
      </w:divBdr>
    </w:div>
    <w:div w:id="342437351">
      <w:bodyDiv w:val="1"/>
      <w:marLeft w:val="0"/>
      <w:marRight w:val="0"/>
      <w:marTop w:val="0"/>
      <w:marBottom w:val="0"/>
      <w:divBdr>
        <w:top w:val="none" w:sz="0" w:space="0" w:color="auto"/>
        <w:left w:val="none" w:sz="0" w:space="0" w:color="auto"/>
        <w:bottom w:val="none" w:sz="0" w:space="0" w:color="auto"/>
        <w:right w:val="none" w:sz="0" w:space="0" w:color="auto"/>
      </w:divBdr>
    </w:div>
    <w:div w:id="354038453">
      <w:bodyDiv w:val="1"/>
      <w:marLeft w:val="0"/>
      <w:marRight w:val="0"/>
      <w:marTop w:val="0"/>
      <w:marBottom w:val="0"/>
      <w:divBdr>
        <w:top w:val="none" w:sz="0" w:space="0" w:color="auto"/>
        <w:left w:val="none" w:sz="0" w:space="0" w:color="auto"/>
        <w:bottom w:val="none" w:sz="0" w:space="0" w:color="auto"/>
        <w:right w:val="none" w:sz="0" w:space="0" w:color="auto"/>
      </w:divBdr>
    </w:div>
    <w:div w:id="359861646">
      <w:bodyDiv w:val="1"/>
      <w:marLeft w:val="0"/>
      <w:marRight w:val="0"/>
      <w:marTop w:val="0"/>
      <w:marBottom w:val="0"/>
      <w:divBdr>
        <w:top w:val="none" w:sz="0" w:space="0" w:color="auto"/>
        <w:left w:val="none" w:sz="0" w:space="0" w:color="auto"/>
        <w:bottom w:val="none" w:sz="0" w:space="0" w:color="auto"/>
        <w:right w:val="none" w:sz="0" w:space="0" w:color="auto"/>
      </w:divBdr>
    </w:div>
    <w:div w:id="383801169">
      <w:bodyDiv w:val="1"/>
      <w:marLeft w:val="0"/>
      <w:marRight w:val="0"/>
      <w:marTop w:val="0"/>
      <w:marBottom w:val="0"/>
      <w:divBdr>
        <w:top w:val="none" w:sz="0" w:space="0" w:color="auto"/>
        <w:left w:val="none" w:sz="0" w:space="0" w:color="auto"/>
        <w:bottom w:val="none" w:sz="0" w:space="0" w:color="auto"/>
        <w:right w:val="none" w:sz="0" w:space="0" w:color="auto"/>
      </w:divBdr>
    </w:div>
    <w:div w:id="483863085">
      <w:bodyDiv w:val="1"/>
      <w:marLeft w:val="0"/>
      <w:marRight w:val="0"/>
      <w:marTop w:val="0"/>
      <w:marBottom w:val="0"/>
      <w:divBdr>
        <w:top w:val="none" w:sz="0" w:space="0" w:color="auto"/>
        <w:left w:val="none" w:sz="0" w:space="0" w:color="auto"/>
        <w:bottom w:val="none" w:sz="0" w:space="0" w:color="auto"/>
        <w:right w:val="none" w:sz="0" w:space="0" w:color="auto"/>
      </w:divBdr>
    </w:div>
    <w:div w:id="541938451">
      <w:bodyDiv w:val="1"/>
      <w:marLeft w:val="0"/>
      <w:marRight w:val="0"/>
      <w:marTop w:val="0"/>
      <w:marBottom w:val="0"/>
      <w:divBdr>
        <w:top w:val="none" w:sz="0" w:space="0" w:color="auto"/>
        <w:left w:val="none" w:sz="0" w:space="0" w:color="auto"/>
        <w:bottom w:val="none" w:sz="0" w:space="0" w:color="auto"/>
        <w:right w:val="none" w:sz="0" w:space="0" w:color="auto"/>
      </w:divBdr>
    </w:div>
    <w:div w:id="803814391">
      <w:bodyDiv w:val="1"/>
      <w:marLeft w:val="0"/>
      <w:marRight w:val="0"/>
      <w:marTop w:val="0"/>
      <w:marBottom w:val="0"/>
      <w:divBdr>
        <w:top w:val="none" w:sz="0" w:space="0" w:color="auto"/>
        <w:left w:val="none" w:sz="0" w:space="0" w:color="auto"/>
        <w:bottom w:val="none" w:sz="0" w:space="0" w:color="auto"/>
        <w:right w:val="none" w:sz="0" w:space="0" w:color="auto"/>
      </w:divBdr>
    </w:div>
    <w:div w:id="971790031">
      <w:bodyDiv w:val="1"/>
      <w:marLeft w:val="0"/>
      <w:marRight w:val="0"/>
      <w:marTop w:val="0"/>
      <w:marBottom w:val="0"/>
      <w:divBdr>
        <w:top w:val="none" w:sz="0" w:space="0" w:color="auto"/>
        <w:left w:val="none" w:sz="0" w:space="0" w:color="auto"/>
        <w:bottom w:val="none" w:sz="0" w:space="0" w:color="auto"/>
        <w:right w:val="none" w:sz="0" w:space="0" w:color="auto"/>
      </w:divBdr>
    </w:div>
    <w:div w:id="993797663">
      <w:bodyDiv w:val="1"/>
      <w:marLeft w:val="0"/>
      <w:marRight w:val="0"/>
      <w:marTop w:val="0"/>
      <w:marBottom w:val="0"/>
      <w:divBdr>
        <w:top w:val="none" w:sz="0" w:space="0" w:color="auto"/>
        <w:left w:val="none" w:sz="0" w:space="0" w:color="auto"/>
        <w:bottom w:val="none" w:sz="0" w:space="0" w:color="auto"/>
        <w:right w:val="none" w:sz="0" w:space="0" w:color="auto"/>
      </w:divBdr>
    </w:div>
    <w:div w:id="1023021395">
      <w:bodyDiv w:val="1"/>
      <w:marLeft w:val="0"/>
      <w:marRight w:val="0"/>
      <w:marTop w:val="0"/>
      <w:marBottom w:val="0"/>
      <w:divBdr>
        <w:top w:val="none" w:sz="0" w:space="0" w:color="auto"/>
        <w:left w:val="none" w:sz="0" w:space="0" w:color="auto"/>
        <w:bottom w:val="none" w:sz="0" w:space="0" w:color="auto"/>
        <w:right w:val="none" w:sz="0" w:space="0" w:color="auto"/>
      </w:divBdr>
    </w:div>
    <w:div w:id="1123306364">
      <w:bodyDiv w:val="1"/>
      <w:marLeft w:val="0"/>
      <w:marRight w:val="0"/>
      <w:marTop w:val="0"/>
      <w:marBottom w:val="0"/>
      <w:divBdr>
        <w:top w:val="none" w:sz="0" w:space="0" w:color="auto"/>
        <w:left w:val="none" w:sz="0" w:space="0" w:color="auto"/>
        <w:bottom w:val="none" w:sz="0" w:space="0" w:color="auto"/>
        <w:right w:val="none" w:sz="0" w:space="0" w:color="auto"/>
      </w:divBdr>
    </w:div>
    <w:div w:id="1125274352">
      <w:bodyDiv w:val="1"/>
      <w:marLeft w:val="0"/>
      <w:marRight w:val="0"/>
      <w:marTop w:val="0"/>
      <w:marBottom w:val="0"/>
      <w:divBdr>
        <w:top w:val="none" w:sz="0" w:space="0" w:color="auto"/>
        <w:left w:val="none" w:sz="0" w:space="0" w:color="auto"/>
        <w:bottom w:val="none" w:sz="0" w:space="0" w:color="auto"/>
        <w:right w:val="none" w:sz="0" w:space="0" w:color="auto"/>
      </w:divBdr>
    </w:div>
    <w:div w:id="1128007425">
      <w:bodyDiv w:val="1"/>
      <w:marLeft w:val="0"/>
      <w:marRight w:val="0"/>
      <w:marTop w:val="0"/>
      <w:marBottom w:val="0"/>
      <w:divBdr>
        <w:top w:val="none" w:sz="0" w:space="0" w:color="auto"/>
        <w:left w:val="none" w:sz="0" w:space="0" w:color="auto"/>
        <w:bottom w:val="none" w:sz="0" w:space="0" w:color="auto"/>
        <w:right w:val="none" w:sz="0" w:space="0" w:color="auto"/>
      </w:divBdr>
    </w:div>
    <w:div w:id="1250308981">
      <w:bodyDiv w:val="1"/>
      <w:marLeft w:val="0"/>
      <w:marRight w:val="0"/>
      <w:marTop w:val="0"/>
      <w:marBottom w:val="0"/>
      <w:divBdr>
        <w:top w:val="none" w:sz="0" w:space="0" w:color="auto"/>
        <w:left w:val="none" w:sz="0" w:space="0" w:color="auto"/>
        <w:bottom w:val="none" w:sz="0" w:space="0" w:color="auto"/>
        <w:right w:val="none" w:sz="0" w:space="0" w:color="auto"/>
      </w:divBdr>
    </w:div>
    <w:div w:id="1348681014">
      <w:bodyDiv w:val="1"/>
      <w:marLeft w:val="0"/>
      <w:marRight w:val="0"/>
      <w:marTop w:val="0"/>
      <w:marBottom w:val="0"/>
      <w:divBdr>
        <w:top w:val="none" w:sz="0" w:space="0" w:color="auto"/>
        <w:left w:val="none" w:sz="0" w:space="0" w:color="auto"/>
        <w:bottom w:val="none" w:sz="0" w:space="0" w:color="auto"/>
        <w:right w:val="none" w:sz="0" w:space="0" w:color="auto"/>
      </w:divBdr>
    </w:div>
    <w:div w:id="1427461381">
      <w:bodyDiv w:val="1"/>
      <w:marLeft w:val="0"/>
      <w:marRight w:val="0"/>
      <w:marTop w:val="0"/>
      <w:marBottom w:val="0"/>
      <w:divBdr>
        <w:top w:val="none" w:sz="0" w:space="0" w:color="auto"/>
        <w:left w:val="none" w:sz="0" w:space="0" w:color="auto"/>
        <w:bottom w:val="none" w:sz="0" w:space="0" w:color="auto"/>
        <w:right w:val="none" w:sz="0" w:space="0" w:color="auto"/>
      </w:divBdr>
    </w:div>
    <w:div w:id="1440955496">
      <w:bodyDiv w:val="1"/>
      <w:marLeft w:val="0"/>
      <w:marRight w:val="0"/>
      <w:marTop w:val="0"/>
      <w:marBottom w:val="0"/>
      <w:divBdr>
        <w:top w:val="none" w:sz="0" w:space="0" w:color="auto"/>
        <w:left w:val="none" w:sz="0" w:space="0" w:color="auto"/>
        <w:bottom w:val="none" w:sz="0" w:space="0" w:color="auto"/>
        <w:right w:val="none" w:sz="0" w:space="0" w:color="auto"/>
      </w:divBdr>
    </w:div>
    <w:div w:id="1565993092">
      <w:bodyDiv w:val="1"/>
      <w:marLeft w:val="0"/>
      <w:marRight w:val="0"/>
      <w:marTop w:val="0"/>
      <w:marBottom w:val="0"/>
      <w:divBdr>
        <w:top w:val="none" w:sz="0" w:space="0" w:color="auto"/>
        <w:left w:val="none" w:sz="0" w:space="0" w:color="auto"/>
        <w:bottom w:val="none" w:sz="0" w:space="0" w:color="auto"/>
        <w:right w:val="none" w:sz="0" w:space="0" w:color="auto"/>
      </w:divBdr>
    </w:div>
    <w:div w:id="1566141630">
      <w:bodyDiv w:val="1"/>
      <w:marLeft w:val="0"/>
      <w:marRight w:val="0"/>
      <w:marTop w:val="0"/>
      <w:marBottom w:val="0"/>
      <w:divBdr>
        <w:top w:val="none" w:sz="0" w:space="0" w:color="auto"/>
        <w:left w:val="none" w:sz="0" w:space="0" w:color="auto"/>
        <w:bottom w:val="none" w:sz="0" w:space="0" w:color="auto"/>
        <w:right w:val="none" w:sz="0" w:space="0" w:color="auto"/>
      </w:divBdr>
    </w:div>
    <w:div w:id="1609118759">
      <w:bodyDiv w:val="1"/>
      <w:marLeft w:val="0"/>
      <w:marRight w:val="0"/>
      <w:marTop w:val="0"/>
      <w:marBottom w:val="0"/>
      <w:divBdr>
        <w:top w:val="none" w:sz="0" w:space="0" w:color="auto"/>
        <w:left w:val="none" w:sz="0" w:space="0" w:color="auto"/>
        <w:bottom w:val="none" w:sz="0" w:space="0" w:color="auto"/>
        <w:right w:val="none" w:sz="0" w:space="0" w:color="auto"/>
      </w:divBdr>
    </w:div>
    <w:div w:id="1613439062">
      <w:bodyDiv w:val="1"/>
      <w:marLeft w:val="0"/>
      <w:marRight w:val="0"/>
      <w:marTop w:val="0"/>
      <w:marBottom w:val="0"/>
      <w:divBdr>
        <w:top w:val="none" w:sz="0" w:space="0" w:color="auto"/>
        <w:left w:val="none" w:sz="0" w:space="0" w:color="auto"/>
        <w:bottom w:val="none" w:sz="0" w:space="0" w:color="auto"/>
        <w:right w:val="none" w:sz="0" w:space="0" w:color="auto"/>
      </w:divBdr>
    </w:div>
    <w:div w:id="1673145413">
      <w:bodyDiv w:val="1"/>
      <w:marLeft w:val="0"/>
      <w:marRight w:val="0"/>
      <w:marTop w:val="0"/>
      <w:marBottom w:val="0"/>
      <w:divBdr>
        <w:top w:val="none" w:sz="0" w:space="0" w:color="auto"/>
        <w:left w:val="none" w:sz="0" w:space="0" w:color="auto"/>
        <w:bottom w:val="none" w:sz="0" w:space="0" w:color="auto"/>
        <w:right w:val="none" w:sz="0" w:space="0" w:color="auto"/>
      </w:divBdr>
    </w:div>
    <w:div w:id="1726682295">
      <w:bodyDiv w:val="1"/>
      <w:marLeft w:val="0"/>
      <w:marRight w:val="0"/>
      <w:marTop w:val="0"/>
      <w:marBottom w:val="0"/>
      <w:divBdr>
        <w:top w:val="none" w:sz="0" w:space="0" w:color="auto"/>
        <w:left w:val="none" w:sz="0" w:space="0" w:color="auto"/>
        <w:bottom w:val="none" w:sz="0" w:space="0" w:color="auto"/>
        <w:right w:val="none" w:sz="0" w:space="0" w:color="auto"/>
      </w:divBdr>
    </w:div>
    <w:div w:id="1735350322">
      <w:bodyDiv w:val="1"/>
      <w:marLeft w:val="0"/>
      <w:marRight w:val="0"/>
      <w:marTop w:val="0"/>
      <w:marBottom w:val="0"/>
      <w:divBdr>
        <w:top w:val="none" w:sz="0" w:space="0" w:color="auto"/>
        <w:left w:val="none" w:sz="0" w:space="0" w:color="auto"/>
        <w:bottom w:val="none" w:sz="0" w:space="0" w:color="auto"/>
        <w:right w:val="none" w:sz="0" w:space="0" w:color="auto"/>
      </w:divBdr>
    </w:div>
    <w:div w:id="1750228730">
      <w:bodyDiv w:val="1"/>
      <w:marLeft w:val="0"/>
      <w:marRight w:val="0"/>
      <w:marTop w:val="0"/>
      <w:marBottom w:val="0"/>
      <w:divBdr>
        <w:top w:val="none" w:sz="0" w:space="0" w:color="auto"/>
        <w:left w:val="none" w:sz="0" w:space="0" w:color="auto"/>
        <w:bottom w:val="none" w:sz="0" w:space="0" w:color="auto"/>
        <w:right w:val="none" w:sz="0" w:space="0" w:color="auto"/>
      </w:divBdr>
    </w:div>
    <w:div w:id="1837499244">
      <w:bodyDiv w:val="1"/>
      <w:marLeft w:val="0"/>
      <w:marRight w:val="0"/>
      <w:marTop w:val="0"/>
      <w:marBottom w:val="0"/>
      <w:divBdr>
        <w:top w:val="none" w:sz="0" w:space="0" w:color="auto"/>
        <w:left w:val="none" w:sz="0" w:space="0" w:color="auto"/>
        <w:bottom w:val="none" w:sz="0" w:space="0" w:color="auto"/>
        <w:right w:val="none" w:sz="0" w:space="0" w:color="auto"/>
      </w:divBdr>
    </w:div>
    <w:div w:id="1937515194">
      <w:bodyDiv w:val="1"/>
      <w:marLeft w:val="0"/>
      <w:marRight w:val="0"/>
      <w:marTop w:val="0"/>
      <w:marBottom w:val="0"/>
      <w:divBdr>
        <w:top w:val="none" w:sz="0" w:space="0" w:color="auto"/>
        <w:left w:val="none" w:sz="0" w:space="0" w:color="auto"/>
        <w:bottom w:val="none" w:sz="0" w:space="0" w:color="auto"/>
        <w:right w:val="none" w:sz="0" w:space="0" w:color="auto"/>
      </w:divBdr>
    </w:div>
    <w:div w:id="198269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90BEA-B13F-4426-AE6C-52A9C9CE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3682</Words>
  <Characters>20989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Данияр Мансурович Расулов</dc:creator>
  <cp:lastModifiedBy>Рашид Джурабеков</cp:lastModifiedBy>
  <cp:revision>14</cp:revision>
  <cp:lastPrinted>2023-07-19T05:41:00Z</cp:lastPrinted>
  <dcterms:created xsi:type="dcterms:W3CDTF">2023-08-31T03:34:00Z</dcterms:created>
  <dcterms:modified xsi:type="dcterms:W3CDTF">2023-09-06T09:29:00Z</dcterms:modified>
</cp:coreProperties>
</file>